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9.8.3.1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scope, scenarios and capabilities of simultaneous multi-panel/multi-beam reception and some agreements were achieved in [2] and [3].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b/>
                <w:bCs/>
                <w:color w:val="0070C0"/>
                <w:szCs w:val="24"/>
                <w:lang w:eastAsia="zh-CN"/>
              </w:rPr>
            </w:pPr>
            <w:r>
              <w:rPr>
                <w:b/>
                <w:bCs/>
                <w:color w:val="0070C0"/>
                <w:szCs w:val="24"/>
                <w:lang w:eastAsia="zh-CN"/>
              </w:rPr>
              <w:t>&lt;Agreement &gt;:</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Assumption on supporting 4-layer MIMO with simultaneous DL reception with two different QCL TypeD RSs</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group based reporting is one of the means to enable simultaneous reception</w:t>
            </w:r>
          </w:p>
          <w:p>
            <w:pPr>
              <w:pStyle w:val="27"/>
              <w:numPr>
                <w:ilvl w:val="0"/>
                <w:numId w:val="3"/>
              </w:numPr>
              <w:overflowPunct/>
              <w:autoSpaceDE/>
              <w:autoSpaceDN/>
              <w:adjustRightInd/>
              <w:spacing w:after="120"/>
              <w:ind w:left="720" w:firstLineChars="0"/>
              <w:textAlignment w:val="auto"/>
              <w:rPr>
                <w:b/>
                <w:bCs/>
                <w:color w:val="0070C0"/>
                <w:szCs w:val="24"/>
                <w:lang w:eastAsia="zh-CN"/>
              </w:rPr>
            </w:pPr>
            <w:r>
              <w:rPr>
                <w:rFonts w:eastAsia="宋体"/>
                <w:szCs w:val="24"/>
                <w:lang w:eastAsia="zh-CN"/>
              </w:rPr>
              <w:t>companies proposing to enable simultaneous reception should bring more analysis on how this can be done</w:t>
            </w:r>
          </w:p>
          <w:p>
            <w:pPr>
              <w:spacing w:after="120" w:afterLines="50"/>
              <w:rPr>
                <w:b/>
                <w:bCs/>
                <w:color w:val="0070C0"/>
                <w:szCs w:val="24"/>
                <w:lang w:eastAsia="zh-CN"/>
              </w:rPr>
            </w:pPr>
            <w:r>
              <w:rPr>
                <w:b/>
                <w:bCs/>
                <w:color w:val="0070C0"/>
                <w:szCs w:val="24"/>
                <w:lang w:eastAsia="zh-CN"/>
              </w:rPr>
              <w:t>&lt;Agreement &gt;:</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Support of single-DCI and/or multi-DCI multi-TRP operation</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b/>
            </w:r>
            <w:r>
              <w:rPr>
                <w:rFonts w:eastAsia="宋体"/>
                <w:szCs w:val="24"/>
                <w:lang w:eastAsia="zh-CN"/>
              </w:rPr>
              <w:t>Consider both sDCI and mDCI</w:t>
            </w:r>
          </w:p>
          <w:p>
            <w:pPr>
              <w:rPr>
                <w:b/>
                <w:u w:val="single"/>
                <w:lang w:eastAsia="ko-KR"/>
              </w:rPr>
            </w:pPr>
            <w:r>
              <w:rPr>
                <w:b/>
                <w:u w:val="single"/>
                <w:lang w:eastAsia="ko-KR"/>
              </w:rPr>
              <w:t>Regarding group-based reporting and simultaneous reception with different QCL type-D</w:t>
            </w:r>
          </w:p>
          <w:p>
            <w:pPr>
              <w:spacing w:after="120" w:afterLines="50"/>
              <w:rPr>
                <w:rFonts w:hint="default"/>
                <w:b/>
                <w:bCs/>
                <w:color w:val="0070C0"/>
                <w:szCs w:val="24"/>
                <w:lang w:val="en-US" w:eastAsia="zh-CN"/>
              </w:rPr>
            </w:pPr>
            <w:r>
              <w:rPr>
                <w:b/>
                <w:bCs/>
                <w:color w:val="0070C0"/>
                <w:szCs w:val="24"/>
                <w:lang w:val="sv-SE" w:eastAsia="zh-CN"/>
              </w:rPr>
              <w:t xml:space="preserve"> </w:t>
            </w:r>
            <w:r>
              <w:rPr>
                <w:rFonts w:hint="eastAsia"/>
                <w:b/>
                <w:bCs/>
                <w:color w:val="0070C0"/>
                <w:szCs w:val="24"/>
                <w:lang w:val="en-US" w:eastAsia="zh-CN"/>
              </w:rPr>
              <w:t>&lt;</w:t>
            </w:r>
            <w:r>
              <w:rPr>
                <w:b/>
                <w:bCs/>
                <w:color w:val="0070C0"/>
                <w:szCs w:val="24"/>
                <w:lang w:val="sv-SE" w:eastAsia="zh-CN"/>
              </w:rPr>
              <w:t>Agreement</w:t>
            </w:r>
            <w:r>
              <w:rPr>
                <w:rFonts w:hint="eastAsia"/>
                <w:b/>
                <w:bCs/>
                <w:color w:val="0070C0"/>
                <w:szCs w:val="24"/>
                <w:lang w:val="en-US" w:eastAsia="zh-CN"/>
              </w:rPr>
              <w:t>&gt;:</w:t>
            </w:r>
          </w:p>
          <w:p>
            <w:pPr>
              <w:pStyle w:val="2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group based reporting is one of the means to enable simultaneous reception</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proposals for further study</w:t>
            </w:r>
          </w:p>
          <w:p>
            <w:pPr>
              <w:pStyle w:val="27"/>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Simultaneous reception is not necessarily based on group-based reception</w:t>
            </w:r>
          </w:p>
          <w:p>
            <w:pPr>
              <w:pStyle w:val="27"/>
              <w:numPr>
                <w:ilvl w:val="1"/>
                <w:numId w:val="3"/>
              </w:numPr>
              <w:overflowPunct/>
              <w:autoSpaceDE/>
              <w:autoSpaceDN/>
              <w:adjustRightInd/>
              <w:spacing w:after="120"/>
              <w:ind w:firstLineChars="0"/>
              <w:textAlignment w:val="auto"/>
              <w:rPr>
                <w:rFonts w:hint="default" w:ascii="Times New Roman" w:hAnsi="Times New Roman" w:eastAsia="Times New Roman" w:cs="Times New Roman"/>
                <w:bCs/>
                <w:kern w:val="0"/>
                <w:sz w:val="20"/>
                <w:szCs w:val="24"/>
                <w:lang w:val="en-US" w:eastAsia="zh-CN" w:bidi="ar-SA"/>
              </w:rPr>
            </w:pPr>
            <w:r>
              <w:rPr>
                <w:rFonts w:eastAsia="宋体"/>
                <w:szCs w:val="24"/>
                <w:lang w:eastAsia="zh-CN"/>
              </w:rPr>
              <w:t>Option 2: TCI switch requirements are to specify dual TCI state switching requirements for multi-Rx (not necessary to limit to only simultaneous reception)</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some general and scope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Consider for the number of receiving panel, although it is not declared in the specification, actually the FR2 UE requirements are specified oriented toward single-panel UE in Rel-15.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Rel-16 and Rel-17, in order to support multi-TRP scenario, some enhancements for receiving beam/panel were achieved:</w:t>
      </w:r>
    </w:p>
    <w:p>
      <w:pPr>
        <w:numPr>
          <w:ilvl w:val="0"/>
          <w:numId w:val="6"/>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6"/>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The support of FR2 CA with IBM and CBM with simultaneous DL reception on different component carriers was defined. For the UE capable of IBM, actually such UE has the capability of DL simultaneous reception on different UE panels/RF chains using different beams.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However, no matter Rel-15 or Rel-16/17, not any enhanced RAN4 requirements were defined for FR2 UEs capable of simultaneous multi-panel/beam reception.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RRM impacts caused by simultaneous DL reception from different directions with different QCL TypeD RSs on a single component carrier, we provide our analysis on the following general aspects as bellow.</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several general issues were referred to and multiple of them are still suspending. We give our analysis around these issues.</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Scenarios </w:t>
      </w:r>
      <w:r>
        <w:rPr>
          <w:rFonts w:hint="eastAsia" w:eastAsia="宋体" w:cs="Times New Roman"/>
          <w:b/>
          <w:bCs/>
          <w:iCs w:val="0"/>
          <w:color w:val="auto"/>
          <w:kern w:val="32"/>
          <w:sz w:val="28"/>
          <w:szCs w:val="32"/>
          <w:lang w:val="en-US" w:eastAsia="zh-CN" w:bidi="ar-SA"/>
        </w:rPr>
        <w:t>of</w:t>
      </w:r>
      <w:r>
        <w:rPr>
          <w:rFonts w:hint="eastAsia" w:ascii="Helvetica" w:hAnsi="Helvetica" w:eastAsia="宋体" w:cs="Times New Roman"/>
          <w:b/>
          <w:bCs/>
          <w:iCs w:val="0"/>
          <w:color w:val="auto"/>
          <w:kern w:val="32"/>
          <w:sz w:val="28"/>
          <w:szCs w:val="32"/>
          <w:lang w:val="en-US" w:eastAsia="zh-CN" w:bidi="ar-SA"/>
        </w:rPr>
        <w:t xml:space="preserve"> this WI</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To our understand, the main focus would be measurement requirements enhancement since of simultaneous multi-TRP transmissions with respective QCL-typeD. While referring to multi-TRP, RAN1 has the concept of intra-cell mTRP in Rel-16 and inter-cell mTRP in Rel-17. Except for the obvious point that whether such mTRPs share a same PCI or not, we summarize other difference between the two scenarios as below:</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The receiving time difference for the two scenarios may be different since of different assumption of inter-TRP distance.</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For inter-cell case, a possible simultaneous reception combination is: SSB 0 from TRP 0+SSB 1 from TRP 1. Which does not exist in intra-cell case.</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The assumption of DCI scheduling is different. Based on the specification in RAN1, for intra-cell case, both single DCI and multiple DCI scheduling are allowed, while for inter-cell case, only multiple DCI scheduling is allowed.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fact, according to the current progress, RAN4 has already start the discussion of 1), 2) and 3). Further more, not any candidate was precluded until right now. So in our opinion, not need to preclude any scenario between intra-cell and inter-cell.</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difference points between intra-cell scenario and inter-cell scenario can be summarized as: 1) Whether mTRPs share same PCI or not; 2) The receiving time difference may be different; 3) the possible simultaneous reception combinations may different; 4) The allowed DCI scheduling scheme is different.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the different points between intra-cell and inter-cell scenarios are in the process of discussion and without any option exclusion, so we can not see the reason to preclude any scenario between intra-cell and inter-cell.</w:t>
      </w:r>
    </w:p>
    <w:p>
      <w:pPr>
        <w:pStyle w:val="8"/>
        <w:rPr>
          <w:rFonts w:hint="eastAsia" w:eastAsia="宋体"/>
          <w:color w:val="auto"/>
          <w:sz w:val="20"/>
          <w:szCs w:val="20"/>
          <w:lang w:val="en-US" w:eastAsia="zh-CN"/>
        </w:rPr>
      </w:pPr>
      <w:r>
        <w:rPr>
          <w:rFonts w:hint="eastAsia" w:eastAsia="宋体"/>
          <w:color w:val="auto"/>
          <w:sz w:val="20"/>
          <w:szCs w:val="20"/>
          <w:lang w:val="en-US" w:eastAsia="zh-CN"/>
        </w:rPr>
        <w:t>Considering the overall scheduling and beam management, at least the multi-TRP scenario with ideal backhaul assumption should be supported. While for the multi-TRP scenario with non-ideal backhaul, maybe it is a bit hard to realize the overall scheduling and beam management between different TRPs due to the lack of the timely interaction.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At least the multi-TRP scenario with ideal backhaul assumption should be supported for multi-panel Rx.</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exact simultaneous reception combination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Some company proposed to discuss the exact simultaneous reception combinations rather than only empty talk about scenario. Further more, base on the guideline achieved in 104bis meeting </w:t>
      </w:r>
      <w:r>
        <w:rPr>
          <w:rFonts w:hint="default" w:eastAsia="宋体"/>
          <w:color w:val="auto"/>
          <w:sz w:val="20"/>
          <w:szCs w:val="20"/>
          <w:lang w:val="en-US" w:eastAsia="zh-CN"/>
        </w:rPr>
        <w:t>“Clarify the SSB and CSI-RS based simultaneous L1 measurement scenario before making conclusion on scenarios for Rel-18 multi-Rx DL reception”</w:t>
      </w:r>
      <w:r>
        <w:rPr>
          <w:rFonts w:hint="eastAsia" w:eastAsia="宋体"/>
          <w:color w:val="auto"/>
          <w:sz w:val="20"/>
          <w:szCs w:val="20"/>
          <w:lang w:val="en-US" w:eastAsia="zh-CN"/>
        </w:rPr>
        <w:t xml:space="preserve">,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in [1], if the enhancement of L3 measurement period is not considered in the scope, in fact we do not need to consider the combinations of two L3 RS.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The same and different points between SSB and CSI-RS are:</w:t>
      </w:r>
    </w:p>
    <w:p>
      <w:pPr>
        <w:numPr>
          <w:ilvl w:val="0"/>
          <w:numId w:val="8"/>
        </w:numPr>
        <w:tabs>
          <w:tab w:val="clear" w:pos="-420"/>
        </w:tabs>
        <w:ind w:left="-420" w:leftChars="0" w:firstLine="84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L3 measurement, they are very similar, both need Rx beam sweeping；</w:t>
      </w:r>
    </w:p>
    <w:p>
      <w:pPr>
        <w:numPr>
          <w:ilvl w:val="0"/>
          <w:numId w:val="8"/>
        </w:numPr>
        <w:tabs>
          <w:tab w:val="clear" w:pos="-420"/>
        </w:tabs>
        <w:ind w:left="-420" w:leftChars="0" w:firstLine="84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L1 measurement, SSB needs Rx beam sweeping, while CSI-RS does not need Rx beam sweeping.</w:t>
      </w:r>
    </w:p>
    <w:p>
      <w:pPr>
        <w:numPr>
          <w:ilvl w:val="0"/>
          <w:numId w:val="8"/>
        </w:numPr>
        <w:tabs>
          <w:tab w:val="clear" w:pos="-420"/>
        </w:tabs>
        <w:ind w:left="-420" w:leftChars="0" w:firstLine="84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CSI-RS based L3 measurement, some restriction on the deriving of timing exists.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we listed all possible combinations under intra-cell and inter-cell scenarios as below:</w:t>
      </w:r>
    </w:p>
    <w:p>
      <w:pPr>
        <w:numPr>
          <w:ilvl w:val="0"/>
          <w:numId w:val="9"/>
        </w:numPr>
        <w:ind w:left="420" w:leftChars="0" w:hanging="420" w:firstLineChars="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intra-cell scenario, the following combinations from different TRPs are possible:</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PDSCH/PDCCH + PDSCH/PDCCH</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SSB + PDSCH/PDCCH</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CSI-RS + PDSCH/PDCCH</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SSB + L1 CSI-RS</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L1 CSI-RS + L1 CSI-RS </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L3 SSB + PDSCH/PDCCH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scheduling restriction in L3 meas</w:t>
      </w:r>
      <w:r>
        <w:rPr>
          <w:rFonts w:hint="eastAsia" w:eastAsia="宋体" w:cs="Times New Roman"/>
          <w:szCs w:val="24"/>
          <w:lang w:val="en-US" w:eastAsia="zh-CN" w:bidi="ar-SA"/>
        </w:rPr>
        <w:t>urement)</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L3 CSI-RS + PDSCH/PDCCH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scheduling restriction in L3 meas</w:t>
      </w:r>
      <w:r>
        <w:rPr>
          <w:rFonts w:hint="eastAsia" w:eastAsia="宋体" w:cs="Times New Roman"/>
          <w:szCs w:val="24"/>
          <w:lang w:val="en-US" w:eastAsia="zh-CN" w:bidi="ar-SA"/>
        </w:rPr>
        <w:t>urement)</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L1 CSI-RS + L3 CSI-RS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L1 SSB + L3 CSI-RS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numPr>
          <w:ilvl w:val="0"/>
          <w:numId w:val="10"/>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CSI-RS + L3 SSB</w:t>
      </w:r>
      <w:r>
        <w:rPr>
          <w:rFonts w:hint="eastAsia"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numPr>
          <w:ilvl w:val="0"/>
          <w:numId w:val="10"/>
        </w:numPr>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L1 SSB + L3 SSB (</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to the combinations between L1 RS and L3 RS, i.e. the above 8), 9), 10) and 11), whether they can be supported is still suspending, we are open to further discuss.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intra-cell scenario, the following combinations from different TRPs are possible:</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PDSCH/PDCCH + PDSCH/PDCCH</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PDSCH/PDCCH</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PDSCH/PDCCH</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L1 CSI-RS</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L1 CSI-RS + L1 CSI-RS </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SSB + PDSCH/PDCCH (to enhance scheduling restriction in L3 measurement)</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CSI-RS + PDSCH/PDCCH (to enhance scheduling restriction in L3 measurement)</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L3 CSI-RS (to enhance L1 measurement)</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L3 CSI-RS (to enhance L1 measurement)</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L3 SSB (to enhance L1 measurement)</w:t>
      </w:r>
    </w:p>
    <w:p>
      <w:pPr>
        <w:numPr>
          <w:ilvl w:val="0"/>
          <w:numId w:val="11"/>
        </w:numPr>
        <w:rPr>
          <w:rFonts w:hint="default" w:ascii="Times New Roman" w:hAnsi="Times New Roman"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L1 SSB + L3 SSB</w:t>
      </w:r>
      <w:r>
        <w:rPr>
          <w:rFonts w:hint="eastAsia" w:ascii="Times New Roman" w:hAnsi="Times New Roman" w:eastAsia="宋体" w:cs="Times New Roman"/>
          <w:b/>
          <w:bCs/>
          <w:color w:val="auto"/>
          <w:sz w:val="20"/>
          <w:szCs w:val="20"/>
          <w:highlight w:val="none"/>
          <w:lang w:val="en-US" w:eastAsia="zh-CN" w:bidi="ar-SA"/>
        </w:rPr>
        <w:t>(to enhance L1 measurement)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Regarding to the combinations between L1 RS and L3 RS, i.e. the above 8), 9), 10) and 11), whether they can be supported is still suspending, we are open to further discuss.</w:t>
      </w:r>
    </w:p>
    <w:p>
      <w:pPr>
        <w:numPr>
          <w:ilvl w:val="0"/>
          <w:numId w:val="0"/>
        </w:numPr>
        <w:rPr>
          <w:rFonts w:hint="default" w:ascii="Times New Roman" w:hAnsi="Times New Roman" w:eastAsia="宋体" w:cs="Times New Roman"/>
          <w:szCs w:val="24"/>
          <w:lang w:val="en-US" w:eastAsia="zh-CN" w:bidi="ar-SA"/>
        </w:rPr>
      </w:pPr>
    </w:p>
    <w:p>
      <w:pPr>
        <w:numPr>
          <w:ilvl w:val="0"/>
          <w:numId w:val="9"/>
        </w:numPr>
        <w:ind w:left="420" w:leftChars="0" w:hanging="42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For inter-cell scenario, </w:t>
      </w:r>
      <w:r>
        <w:rPr>
          <w:rFonts w:hint="eastAsia" w:eastAsia="宋体" w:cs="Times New Roman"/>
          <w:szCs w:val="24"/>
          <w:lang w:val="en-US" w:eastAsia="zh-CN" w:bidi="ar-SA"/>
        </w:rPr>
        <w:t>compared with intra-cell scenario, the following two points should be noticed</w:t>
      </w:r>
      <w:r>
        <w:rPr>
          <w:rFonts w:hint="eastAsia" w:ascii="Times New Roman" w:hAnsi="Times New Roman" w:eastAsia="宋体" w:cs="Times New Roman"/>
          <w:szCs w:val="24"/>
          <w:lang w:val="en-US" w:eastAsia="zh-CN" w:bidi="ar-SA"/>
        </w:rPr>
        <w:t>:</w:t>
      </w:r>
    </w:p>
    <w:p>
      <w:pPr>
        <w:numPr>
          <w:ilvl w:val="0"/>
          <w:numId w:val="12"/>
        </w:numPr>
        <w:ind w:left="840" w:leftChars="0" w:hanging="42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Since of only a single PCI share by the multiple TRPs for intra-cell scenario, so on a symbol, it is impossible to simultaneously exist more than one SSB index. While for inter-cell case, no such limitation. So additional case is needed.</w:t>
      </w:r>
    </w:p>
    <w:p>
      <w:pPr>
        <w:numPr>
          <w:ilvl w:val="0"/>
          <w:numId w:val="12"/>
        </w:numPr>
        <w:ind w:left="840" w:leftChars="0" w:hanging="42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Under the R17 inter-cell BM, only SSB based L1-RSRP measurement is introduced for NSC, CSI-RS based </w:t>
      </w:r>
      <w:r>
        <w:rPr>
          <w:rFonts w:hint="eastAsia" w:eastAsia="宋体" w:cs="Times New Roman"/>
          <w:szCs w:val="24"/>
          <w:lang w:val="en-US" w:eastAsia="zh-CN" w:bidi="ar-SA"/>
        </w:rPr>
        <w:t xml:space="preserve">L1 measurement </w:t>
      </w:r>
      <w:r>
        <w:rPr>
          <w:rFonts w:hint="eastAsia" w:ascii="Times New Roman" w:hAnsi="Times New Roman" w:eastAsia="宋体" w:cs="Times New Roman"/>
          <w:szCs w:val="24"/>
          <w:lang w:val="en-US" w:eastAsia="zh-CN" w:bidi="ar-SA"/>
        </w:rPr>
        <w:t>is not considered. So the above 5) is not applicable.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the following combinations from different TRPs are possible:</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PDSCH/PDCCH + PDSCH/PDCCH</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SSB + PDSCH/PDCCH</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CSI-RS + PDSCH/PDCCH</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SSB + L1 SSB</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L1 SSB + L1 CSI-RS </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L3 SSB + PDSCH/PDCCH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scheduling restriction in L3 meas</w:t>
      </w:r>
      <w:r>
        <w:rPr>
          <w:rFonts w:hint="eastAsia" w:eastAsia="宋体" w:cs="Times New Roman"/>
          <w:szCs w:val="24"/>
          <w:lang w:val="en-US" w:eastAsia="zh-CN" w:bidi="ar-SA"/>
        </w:rPr>
        <w:t>urement)</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L3 CSI-RS + PDSCH/PDCCH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scheduling restriction in L3 meas</w:t>
      </w:r>
      <w:r>
        <w:rPr>
          <w:rFonts w:hint="eastAsia" w:eastAsia="宋体" w:cs="Times New Roman"/>
          <w:szCs w:val="24"/>
          <w:lang w:val="en-US" w:eastAsia="zh-CN" w:bidi="ar-SA"/>
        </w:rPr>
        <w:t>urement)</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CSI-RS</w:t>
      </w:r>
      <w:r>
        <w:rPr>
          <w:rFonts w:hint="eastAsia"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 xml:space="preserve">+ L3 CSI-RS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L1 SSB + L3 CSI-RS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numPr>
          <w:ilvl w:val="0"/>
          <w:numId w:val="13"/>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L1 CSI-RS + L3 SSB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numPr>
          <w:ilvl w:val="0"/>
          <w:numId w:val="13"/>
        </w:numPr>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L1 SSB + L3 SSB</w:t>
      </w:r>
      <w:r>
        <w:rPr>
          <w:rFonts w:hint="eastAsia" w:ascii="Times New Roman" w:hAnsi="Times New Roman" w:eastAsia="宋体" w:cs="Times New Roman"/>
          <w:szCs w:val="24"/>
          <w:lang w:val="en-US" w:eastAsia="zh-CN" w:bidi="ar-SA"/>
        </w:rPr>
        <w:t xml:space="preserve">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L1 meas</w:t>
      </w:r>
      <w:r>
        <w:rPr>
          <w:rFonts w:hint="eastAsia" w:eastAsia="宋体" w:cs="Times New Roman"/>
          <w:szCs w:val="24"/>
          <w:lang w:val="en-US" w:eastAsia="zh-CN" w:bidi="ar-SA"/>
        </w:rPr>
        <w:t>urement)</w:t>
      </w:r>
    </w:p>
    <w:p>
      <w:pPr>
        <w:pStyle w:val="8"/>
        <w:tabs>
          <w:tab w:val="left" w:pos="226"/>
          <w:tab w:val="left" w:pos="284"/>
          <w:tab w:val="left" w:pos="5103"/>
        </w:tabs>
        <w:snapToGrid w:val="0"/>
        <w:spacing w:before="156" w:beforeLines="50"/>
        <w:rPr>
          <w:rFonts w:hint="default" w:ascii="Times New Roman" w:hAnsi="Times New Roman" w:eastAsia="宋体" w:cs="Times New Roman"/>
          <w:szCs w:val="24"/>
          <w:lang w:val="en-US" w:eastAsia="zh-CN" w:bidi="ar-SA"/>
        </w:rPr>
      </w:pPr>
      <w:r>
        <w:rPr>
          <w:rFonts w:hint="eastAsia" w:eastAsia="宋体"/>
          <w:color w:val="auto"/>
          <w:sz w:val="20"/>
          <w:szCs w:val="20"/>
          <w:lang w:val="en-US" w:eastAsia="zh-CN"/>
        </w:rPr>
        <w:t>Regarding to the combinations between L1 RS and L3 RS, i.e. the above 8), 9), 10) and 11), whether they can be supported is still suspending, we are open to further discuss.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inter-cell scenario, the following combinations from different TRPs are possible:</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PDSCH/PDCCH + PDSCH/PDCCH</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SSB + PDSCH/PDCCH</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CSI-RS + PDSCH/PDCCH</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SSB + L1 SSB</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L1 SSB + L1 CSI-RS </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L3 SSB + PDSCH/PDCCH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scheduling restriction in L3 meas</w:t>
      </w:r>
      <w:r>
        <w:rPr>
          <w:rFonts w:hint="eastAsia" w:eastAsia="宋体" w:cs="Times New Roman"/>
          <w:b/>
          <w:bCs/>
          <w:szCs w:val="24"/>
          <w:lang w:val="en-US" w:eastAsia="zh-CN" w:bidi="ar-SA"/>
        </w:rPr>
        <w:t>urement)</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L3 CSI-RS + PDSCH/PDCCH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scheduling restriction in L3 meas</w:t>
      </w:r>
      <w:r>
        <w:rPr>
          <w:rFonts w:hint="eastAsia" w:eastAsia="宋体" w:cs="Times New Roman"/>
          <w:b/>
          <w:bCs/>
          <w:szCs w:val="24"/>
          <w:lang w:val="en-US" w:eastAsia="zh-CN" w:bidi="ar-SA"/>
        </w:rPr>
        <w:t>urement)</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CSI-RS</w:t>
      </w:r>
      <w:r>
        <w:rPr>
          <w:rFonts w:hint="eastAsia" w:eastAsia="宋体" w:cs="Times New Roman"/>
          <w:b/>
          <w:bCs/>
          <w:szCs w:val="24"/>
          <w:lang w:val="en-US" w:eastAsia="zh-CN" w:bidi="ar-SA"/>
        </w:rPr>
        <w:t xml:space="preserve"> </w:t>
      </w:r>
      <w:r>
        <w:rPr>
          <w:rFonts w:hint="eastAsia" w:ascii="Times New Roman" w:hAnsi="Times New Roman" w:eastAsia="宋体" w:cs="Times New Roman"/>
          <w:b/>
          <w:bCs/>
          <w:szCs w:val="24"/>
          <w:lang w:val="en-US" w:eastAsia="zh-CN" w:bidi="ar-SA"/>
        </w:rPr>
        <w:t xml:space="preserve">+ L3 CSI-RS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L1 SSB + L3 CSI-RS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numPr>
          <w:ilvl w:val="0"/>
          <w:numId w:val="14"/>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L1 CSI-RS + L3 SSB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numPr>
          <w:ilvl w:val="0"/>
          <w:numId w:val="14"/>
        </w:numPr>
        <w:rPr>
          <w:rFonts w:hint="default" w:ascii="Times New Roman" w:hAnsi="Times New Roman" w:eastAsia="宋体" w:cs="Times New Roman"/>
          <w:b/>
          <w:bCs/>
          <w:szCs w:val="24"/>
          <w:lang w:val="en-US" w:eastAsia="zh-CN" w:bidi="ar-SA"/>
        </w:rPr>
      </w:pPr>
      <w:r>
        <w:rPr>
          <w:rFonts w:hint="eastAsia" w:eastAsia="宋体" w:cs="Times New Roman"/>
          <w:b/>
          <w:bCs/>
          <w:szCs w:val="24"/>
          <w:lang w:val="en-US" w:eastAsia="zh-CN" w:bidi="ar-SA"/>
        </w:rPr>
        <w:t>L1 SSB + L3 SSB</w:t>
      </w:r>
      <w:r>
        <w:rPr>
          <w:rFonts w:hint="eastAsia" w:ascii="Times New Roman" w:hAnsi="Times New Roman" w:eastAsia="宋体" w:cs="Times New Roman"/>
          <w:b/>
          <w:bCs/>
          <w:szCs w:val="24"/>
          <w:lang w:val="en-US" w:eastAsia="zh-CN" w:bidi="ar-SA"/>
        </w:rPr>
        <w:t xml:space="preserve">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Regarding to the combinations between L1 RS and L3 RS, i.e. the above 8), 9), 10) and 11), whether they can be supported is still suspending, we are open to further discuss.</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Spatial MIMO by using one panel</w:t>
      </w:r>
    </w:p>
    <w:p>
      <w:pPr>
        <w:pStyle w:val="8"/>
        <w:rPr>
          <w:rFonts w:hint="eastAsia" w:eastAsia="宋体" w:cs="Times New Roman"/>
          <w:b/>
          <w:bCs/>
          <w:color w:val="auto"/>
          <w:sz w:val="20"/>
          <w:szCs w:val="20"/>
          <w:highlight w:val="none"/>
          <w:lang w:val="en-US" w:eastAsia="zh-CN" w:bidi="ar-SA"/>
        </w:rPr>
      </w:pP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to enhance the coverage, when multiple panels are equipped, they would provide as much as possible beam directions coverage, where each one panel provide partial beam directions coverage. So as to enlarge the coverage and avoid the interference when simultaneous reception, the beam directions covered by each of two panels should be non-overlapped or only very limited overlapped.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 xml:space="preserve">Observation 2: To avoid interference and enlarge the beam directions coverage via multi-panel simultaneous reception, the coverage of beam directions of each panel are non-overlapped or only limited partial overlapped.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Further more, the spatial MIMO(either spatial diversity or spatial multiplexing) by using a single panel to receive two independent signals from the same of nearly same direction was discussed in last meeting, multiple options were summarized in [4] but not any conclusion achieved.</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 xml:space="preserve">Our original view is that the target case in this WI is simultaneous reception from two different beam directions with two panels respectively. While referring to the spatial MIMO by single panel reception, it is not any target enhancement caused by multi-panel simultaneous reception, the legacy UE which is not capable of multi-panel simultaneous reception can support such reception. So it is not the main target scenario for this WI, </w:t>
      </w:r>
      <w:r>
        <w:rPr>
          <w:rFonts w:hint="default" w:eastAsia="宋体"/>
          <w:lang w:val="en-US" w:eastAsia="zh-CN"/>
        </w:rPr>
        <w:t>we do not need to identify any explicit conclusion about this</w:t>
      </w:r>
      <w:r>
        <w:rPr>
          <w:rFonts w:hint="eastAsia" w:eastAsia="宋体"/>
          <w:lang w:val="en-US" w:eastAsia="zh-CN"/>
        </w:rPr>
        <w:t xml:space="preserve"> in RRM session.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5: 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2.4 Beam management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This issue was discussed in 105 meeting without any conclusion, the following options were proposed: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1 (Intel):</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lang w:eastAsia="zh-CN"/>
              </w:rPr>
            </w:pPr>
            <w:r>
              <w:rPr>
                <w:lang w:eastAsia="zh-CN"/>
              </w:rPr>
              <w:t>Beam management requirements are based on:</w:t>
            </w:r>
          </w:p>
          <w:p>
            <w:pPr>
              <w:pStyle w:val="27"/>
              <w:keepNext w:val="0"/>
              <w:keepLines w:val="0"/>
              <w:pageBreakBefore w:val="0"/>
              <w:widowControl w:val="0"/>
              <w:numPr>
                <w:ilvl w:val="2"/>
                <w:numId w:val="3"/>
              </w:numPr>
              <w:kinsoku/>
              <w:wordWrap/>
              <w:overflowPunct/>
              <w:topLinePunct w:val="0"/>
              <w:autoSpaceDE/>
              <w:autoSpaceDN/>
              <w:bidi w:val="0"/>
              <w:adjustRightInd/>
              <w:snapToGrid/>
              <w:spacing w:line="240" w:lineRule="auto"/>
              <w:ind w:left="1956"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For L1-RSRP measurement for intra-cell mTRP, L1-RSRP requirement defined in clause 9.5 will apply.</w:t>
            </w:r>
          </w:p>
          <w:p>
            <w:pPr>
              <w:pStyle w:val="27"/>
              <w:keepNext w:val="0"/>
              <w:keepLines w:val="0"/>
              <w:pageBreakBefore w:val="0"/>
              <w:widowControl w:val="0"/>
              <w:numPr>
                <w:ilvl w:val="2"/>
                <w:numId w:val="3"/>
              </w:numPr>
              <w:kinsoku/>
              <w:wordWrap/>
              <w:overflowPunct/>
              <w:topLinePunct w:val="0"/>
              <w:autoSpaceDE/>
              <w:autoSpaceDN/>
              <w:bidi w:val="0"/>
              <w:adjustRightInd/>
              <w:snapToGrid/>
              <w:spacing w:line="240" w:lineRule="auto"/>
              <w:ind w:left="1956"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For L1-RSRP measurement in inter-cell mTRP, Rel-17 ICBM requirement will be applied, i.e. clause 9.13, where only SSB based measurement is defined.</w:t>
            </w:r>
          </w:p>
          <w:p>
            <w:pPr>
              <w:pStyle w:val="27"/>
              <w:keepNext w:val="0"/>
              <w:keepLines w:val="0"/>
              <w:pageBreakBefore w:val="0"/>
              <w:widowControl w:val="0"/>
              <w:numPr>
                <w:ilvl w:val="2"/>
                <w:numId w:val="3"/>
              </w:numPr>
              <w:kinsoku/>
              <w:wordWrap/>
              <w:overflowPunct/>
              <w:topLinePunct w:val="0"/>
              <w:autoSpaceDE/>
              <w:autoSpaceDN/>
              <w:bidi w:val="0"/>
              <w:adjustRightInd/>
              <w:snapToGrid/>
              <w:spacing w:line="240" w:lineRule="auto"/>
              <w:ind w:left="1956"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For BFD/CBD, TRP specific requirement will be applied, i.e. clause 8.18, which can apply for both intra-cell mTRP and inter-cell mTRP.</w:t>
            </w:r>
          </w:p>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2 (</w:t>
            </w:r>
            <w:r>
              <w:rPr>
                <w:rFonts w:hint="eastAsia" w:ascii="Times New Roman" w:hAnsi="Times New Roman" w:eastAsia="宋体" w:cs="Times New Roman"/>
                <w:kern w:val="2"/>
                <w:sz w:val="20"/>
                <w:szCs w:val="24"/>
                <w:lang w:val="en-GB" w:eastAsia="zh-CN" w:bidi="ar-SA"/>
              </w:rPr>
              <w:t>MTK</w:t>
            </w:r>
            <w:r>
              <w:rPr>
                <w:rFonts w:ascii="Times New Roman" w:hAnsi="Times New Roman" w:eastAsia="宋体" w:cs="Times New Roman"/>
                <w:kern w:val="2"/>
                <w:sz w:val="20"/>
                <w:szCs w:val="24"/>
                <w:lang w:val="en-GB" w:eastAsia="zh-CN" w:bidi="ar-SA"/>
              </w:rPr>
              <w:t>):</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lang w:eastAsia="zh-CN"/>
              </w:rPr>
            </w:pPr>
            <w:r>
              <w:rPr>
                <w:lang w:eastAsia="zh-CN"/>
              </w:rPr>
              <w:t>Not to use the principle of independent beam management to define the requirement for R18 multi-Rx WI.</w:t>
            </w:r>
            <w:r>
              <w:rPr>
                <w:rFonts w:hint="eastAsia"/>
                <w:lang w:val="en-US" w:eastAsia="zh-CN"/>
              </w:rPr>
              <w:t xml:space="preserve">   </w:t>
            </w:r>
          </w:p>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3 (NTT DOCOMO):</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lang w:eastAsia="zh-CN"/>
              </w:rPr>
            </w:pPr>
            <w:r>
              <w:rPr>
                <w:lang w:eastAsia="zh-CN"/>
              </w:rPr>
              <w:t>Single TCI case and dual TCI case should be studied separately. For dual TCI case, independent beam management can be assumed based on the agreement that independent TCI state switch is assumed for dual TCI case.</w:t>
            </w:r>
          </w:p>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4 (Nokia):</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rFonts w:hint="default" w:eastAsia="宋体"/>
                <w:vertAlign w:val="baseline"/>
                <w:lang w:val="en-US" w:eastAsia="zh-CN"/>
              </w:rPr>
            </w:pPr>
            <w:r>
              <w:rPr>
                <w:rFonts w:ascii="Times New Roman" w:hAnsi="Times New Roman" w:eastAsia="宋体" w:cs="Times New Roman"/>
                <w:kern w:val="2"/>
                <w:sz w:val="20"/>
                <w:szCs w:val="24"/>
                <w:lang w:val="en-GB" w:eastAsia="zh-CN" w:bidi="ar-SA"/>
              </w:rPr>
              <w:t>Multi-Rx UE shall be capable of independent beam management between multiple Rx chains on a Component Carrier (CC)</w:t>
            </w:r>
            <w:r>
              <w:rPr>
                <w:rFonts w:hint="eastAsia" w:ascii="Times New Roman" w:hAnsi="Times New Roman" w:eastAsia="宋体" w:cs="Times New Roman"/>
                <w:kern w:val="2"/>
                <w:sz w:val="20"/>
                <w:szCs w:val="24"/>
                <w:lang w:val="en-US" w:eastAsia="zh-CN" w:bidi="ar-SA"/>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IBM architecture in R16/17, some details were given in [5]. Under the the implementation architecture of 2 RF chains+2 Antenna panels, each RF chain can determine the phase shifter independently, so the independent phase shift of H/V polarization can be assumed for each panel. Therefore the UE can determine the Rx beam training of each panel independently at the same time.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On the other side, until right now, regarding to the assumption of two AoAs, the following agreements has been achieved in RF session: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topLinePunct w:val="0"/>
              <w:bidi w:val="0"/>
              <w:snapToGrid/>
              <w:spacing w:line="240" w:lineRule="auto"/>
              <w:rPr>
                <w:b/>
                <w:bCs/>
                <w:highlight w:val="green"/>
              </w:rPr>
            </w:pPr>
            <w:r>
              <w:rPr>
                <w:rFonts w:hint="eastAsia"/>
                <w:b/>
                <w:bCs/>
                <w:highlight w:val="green"/>
              </w:rPr>
              <w:t>Agreemen</w:t>
            </w:r>
            <w:r>
              <w:rPr>
                <w:rFonts w:hint="eastAsia"/>
                <w:b/>
                <w:bCs/>
                <w:highlight w:val="green"/>
                <w:lang w:val="en-US" w:eastAsia="zh-CN"/>
              </w:rPr>
              <w:t>t(104)</w:t>
            </w:r>
            <w:r>
              <w:rPr>
                <w:rFonts w:hint="eastAsia"/>
                <w:b/>
                <w:bCs/>
                <w:highlight w:val="green"/>
              </w:rPr>
              <w:t>:</w:t>
            </w:r>
          </w:p>
          <w:p>
            <w:pPr>
              <w:keepNext w:val="0"/>
              <w:keepLines w:val="0"/>
              <w:pageBreakBefore w:val="0"/>
              <w:widowControl w:val="0"/>
              <w:numPr>
                <w:ilvl w:val="0"/>
                <w:numId w:val="15"/>
              </w:numPr>
              <w:kinsoku/>
              <w:wordWrap/>
              <w:topLinePunct w:val="0"/>
              <w:bidi w:val="0"/>
              <w:snapToGrid/>
              <w:spacing w:line="240" w:lineRule="auto"/>
              <w:rPr>
                <w:bCs/>
                <w:highlight w:val="none"/>
                <w:lang w:val="en-US"/>
              </w:rPr>
            </w:pPr>
            <w:r>
              <w:rPr>
                <w:bCs/>
                <w:highlight w:val="none"/>
                <w:lang w:val="en-US"/>
              </w:rPr>
              <w:t>Further discuss on the on the candidate AoA pairs for setting the UE RF requirement</w:t>
            </w:r>
          </w:p>
          <w:p>
            <w:pPr>
              <w:keepNext w:val="0"/>
              <w:keepLines w:val="0"/>
              <w:pageBreakBefore w:val="0"/>
              <w:widowControl w:val="0"/>
              <w:numPr>
                <w:ilvl w:val="1"/>
                <w:numId w:val="15"/>
              </w:numPr>
              <w:kinsoku/>
              <w:wordWrap/>
              <w:topLinePunct w:val="0"/>
              <w:bidi w:val="0"/>
              <w:snapToGrid/>
              <w:spacing w:line="240" w:lineRule="auto"/>
              <w:rPr>
                <w:bCs/>
                <w:highlight w:val="none"/>
                <w:lang w:val="en-US"/>
              </w:rPr>
            </w:pPr>
            <w:r>
              <w:rPr>
                <w:bCs/>
                <w:highlight w:val="none"/>
                <w:lang w:val="en-US"/>
              </w:rPr>
              <w:t xml:space="preserve">One Fixed AoA1 (e.g. Peak) + Full set AoA2. </w:t>
            </w:r>
          </w:p>
          <w:p>
            <w:pPr>
              <w:keepNext w:val="0"/>
              <w:keepLines w:val="0"/>
              <w:pageBreakBefore w:val="0"/>
              <w:widowControl w:val="0"/>
              <w:numPr>
                <w:ilvl w:val="1"/>
                <w:numId w:val="15"/>
              </w:numPr>
              <w:kinsoku/>
              <w:wordWrap/>
              <w:topLinePunct w:val="0"/>
              <w:bidi w:val="0"/>
              <w:snapToGrid/>
              <w:spacing w:line="240" w:lineRule="auto"/>
              <w:rPr>
                <w:bCs/>
                <w:highlight w:val="none"/>
                <w:lang w:val="en-US"/>
              </w:rPr>
            </w:pPr>
            <w:r>
              <w:rPr>
                <w:bCs/>
                <w:highlight w:val="none"/>
                <w:lang w:val="en-US"/>
              </w:rPr>
              <w:t xml:space="preserve">Multiple AoA1 + Full set AoA2. </w:t>
            </w:r>
          </w:p>
          <w:p>
            <w:pPr>
              <w:keepNext w:val="0"/>
              <w:keepLines w:val="0"/>
              <w:pageBreakBefore w:val="0"/>
              <w:widowControl w:val="0"/>
              <w:numPr>
                <w:ilvl w:val="1"/>
                <w:numId w:val="15"/>
              </w:numPr>
              <w:kinsoku/>
              <w:wordWrap/>
              <w:topLinePunct w:val="0"/>
              <w:bidi w:val="0"/>
              <w:snapToGrid/>
              <w:spacing w:line="240" w:lineRule="auto"/>
              <w:rPr>
                <w:bCs/>
                <w:highlight w:val="none"/>
                <w:lang w:val="en-US"/>
              </w:rPr>
            </w:pPr>
            <w:r>
              <w:rPr>
                <w:bCs/>
                <w:highlight w:val="none"/>
                <w:lang w:val="en-US"/>
              </w:rPr>
              <w:t>Fixed offset between the two AoAs, both probes swept simultaneously.</w:t>
            </w:r>
            <w:r>
              <w:rPr>
                <w:rFonts w:hint="eastAsia"/>
                <w:bCs/>
                <w:highlight w:val="none"/>
                <w:lang w:val="en-US" w:eastAsia="zh-CN"/>
              </w:rPr>
              <w:t xml:space="preserve">  </w:t>
            </w:r>
          </w:p>
          <w:p>
            <w:pPr>
              <w:keepNext w:val="0"/>
              <w:keepLines w:val="0"/>
              <w:pageBreakBefore w:val="0"/>
              <w:widowControl w:val="0"/>
              <w:numPr>
                <w:ilvl w:val="1"/>
                <w:numId w:val="15"/>
              </w:numPr>
              <w:kinsoku/>
              <w:wordWrap/>
              <w:topLinePunct w:val="0"/>
              <w:bidi w:val="0"/>
              <w:snapToGrid/>
              <w:spacing w:line="240" w:lineRule="auto"/>
              <w:rPr>
                <w:bCs/>
                <w:highlight w:val="none"/>
                <w:lang w:val="en-US"/>
              </w:rPr>
            </w:pPr>
            <w:r>
              <w:rPr>
                <w:bCs/>
                <w:highlight w:val="none"/>
                <w:lang w:val="en-US"/>
              </w:rPr>
              <w:t>Full set AoA1 + Full set AoA2</w:t>
            </w:r>
          </w:p>
          <w:p>
            <w:pPr>
              <w:keepNext w:val="0"/>
              <w:keepLines w:val="0"/>
              <w:pageBreakBefore w:val="0"/>
              <w:widowControl w:val="0"/>
              <w:kinsoku/>
              <w:wordWrap/>
              <w:topLinePunct w:val="0"/>
              <w:bidi w:val="0"/>
              <w:snapToGrid/>
              <w:spacing w:line="240" w:lineRule="auto"/>
              <w:ind w:left="426"/>
              <w:rPr>
                <w:bCs/>
                <w:highlight w:val="none"/>
                <w:lang w:val="en-US"/>
              </w:rPr>
            </w:pPr>
            <w:r>
              <w:rPr>
                <w:bCs/>
                <w:highlight w:val="none"/>
                <w:lang w:val="en-US"/>
              </w:rPr>
              <w:t>Other solutions are not precluded. Companies are also encouraged to bring the analysis on how to quantify the Refsens value when receiving multiple signals.</w:t>
            </w:r>
          </w:p>
          <w:p>
            <w:pPr>
              <w:keepNext w:val="0"/>
              <w:keepLines w:val="0"/>
              <w:pageBreakBefore w:val="0"/>
              <w:widowControl w:val="0"/>
              <w:kinsoku/>
              <w:wordWrap/>
              <w:topLinePunct w:val="0"/>
              <w:bidi w:val="0"/>
              <w:snapToGrid/>
              <w:spacing w:line="240" w:lineRule="auto"/>
              <w:rPr>
                <w:rFonts w:hint="eastAsia"/>
                <w:b/>
                <w:bCs/>
                <w:highlight w:val="green"/>
                <w:lang w:val="en-US" w:eastAsia="zh-CN"/>
              </w:rPr>
            </w:pPr>
            <w:r>
              <w:rPr>
                <w:rFonts w:hint="eastAsia"/>
                <w:b/>
                <w:bCs/>
                <w:highlight w:val="green"/>
                <w:lang w:val="en-US" w:eastAsia="zh-CN"/>
              </w:rPr>
              <w:t xml:space="preserve">Agreement(105): </w:t>
            </w:r>
          </w:p>
          <w:p>
            <w:pPr>
              <w:pStyle w:val="27"/>
              <w:keepNext w:val="0"/>
              <w:keepLines w:val="0"/>
              <w:pageBreakBefore w:val="0"/>
              <w:widowControl w:val="0"/>
              <w:numPr>
                <w:ilvl w:val="0"/>
                <w:numId w:val="16"/>
              </w:numPr>
              <w:kinsoku/>
              <w:wordWrap/>
              <w:overflowPunct w:val="0"/>
              <w:topLinePunct w:val="0"/>
              <w:autoSpaceDE w:val="0"/>
              <w:autoSpaceDN w:val="0"/>
              <w:bidi w:val="0"/>
              <w:adjustRightInd w:val="0"/>
              <w:snapToGrid/>
              <w:spacing w:line="240" w:lineRule="auto"/>
              <w:textAlignment w:val="baseline"/>
              <w:rPr>
                <w:szCs w:val="20"/>
                <w:highlight w:val="none"/>
              </w:rPr>
            </w:pPr>
            <w:r>
              <w:rPr>
                <w:szCs w:val="20"/>
                <w:highlight w:val="none"/>
              </w:rPr>
              <w:t>Take Option 1 as the starting point</w:t>
            </w:r>
          </w:p>
          <w:p>
            <w:pPr>
              <w:pStyle w:val="27"/>
              <w:keepNext w:val="0"/>
              <w:keepLines w:val="0"/>
              <w:pageBreakBefore w:val="0"/>
              <w:widowControl w:val="0"/>
              <w:numPr>
                <w:ilvl w:val="1"/>
                <w:numId w:val="16"/>
              </w:numPr>
              <w:kinsoku/>
              <w:wordWrap/>
              <w:overflowPunct w:val="0"/>
              <w:topLinePunct w:val="0"/>
              <w:autoSpaceDE w:val="0"/>
              <w:autoSpaceDN w:val="0"/>
              <w:bidi w:val="0"/>
              <w:adjustRightInd w:val="0"/>
              <w:snapToGrid/>
              <w:spacing w:line="240" w:lineRule="auto"/>
              <w:textAlignment w:val="baseline"/>
              <w:rPr>
                <w:szCs w:val="20"/>
                <w:highlight w:val="none"/>
              </w:rPr>
            </w:pPr>
            <w:r>
              <w:rPr>
                <w:szCs w:val="20"/>
                <w:highlight w:val="none"/>
              </w:rPr>
              <w:t>Multiple fixed orientation of the AoAs or single fixed orientation of AoA can be considered for test</w:t>
            </w:r>
          </w:p>
          <w:p>
            <w:pPr>
              <w:pStyle w:val="27"/>
              <w:keepNext w:val="0"/>
              <w:keepLines w:val="0"/>
              <w:pageBreakBefore w:val="0"/>
              <w:widowControl w:val="0"/>
              <w:numPr>
                <w:ilvl w:val="1"/>
                <w:numId w:val="16"/>
              </w:numPr>
              <w:kinsoku/>
              <w:wordWrap/>
              <w:overflowPunct w:val="0"/>
              <w:topLinePunct w:val="0"/>
              <w:autoSpaceDE w:val="0"/>
              <w:autoSpaceDN w:val="0"/>
              <w:bidi w:val="0"/>
              <w:adjustRightInd w:val="0"/>
              <w:snapToGrid/>
              <w:spacing w:line="240" w:lineRule="auto"/>
              <w:textAlignment w:val="baseline"/>
              <w:rPr>
                <w:rFonts w:hint="default"/>
                <w:bCs/>
                <w:highlight w:val="none"/>
                <w:lang w:val="en-US" w:eastAsia="zh-CN"/>
              </w:rPr>
            </w:pPr>
            <w:r>
              <w:rPr>
                <w:szCs w:val="20"/>
                <w:highlight w:val="none"/>
              </w:rPr>
              <w:t>Multiple fixed AoA offset values or single fixed AoA offset value can be considered for core requirement</w:t>
            </w:r>
            <w:r>
              <w:rPr>
                <w:rFonts w:hint="eastAsia" w:eastAsia="宋体"/>
                <w:szCs w:val="20"/>
                <w:highlight w:val="none"/>
                <w:lang w:val="en-US" w:eastAsia="zh-CN"/>
              </w:rPr>
              <w:t xml:space="preserve"> </w:t>
            </w:r>
          </w:p>
          <w:p>
            <w:pPr>
              <w:keepNext w:val="0"/>
              <w:keepLines w:val="0"/>
              <w:pageBreakBefore w:val="0"/>
              <w:widowControl w:val="0"/>
              <w:kinsoku/>
              <w:wordWrap/>
              <w:topLinePunct w:val="0"/>
              <w:bidi w:val="0"/>
              <w:snapToGrid/>
              <w:spacing w:line="240" w:lineRule="auto"/>
              <w:rPr>
                <w:b/>
                <w:highlight w:val="green"/>
                <w:lang w:eastAsia="zh-CN"/>
              </w:rPr>
            </w:pPr>
            <w:r>
              <w:rPr>
                <w:b/>
                <w:highlight w:val="green"/>
                <w:lang w:eastAsia="zh-CN"/>
              </w:rPr>
              <w:t xml:space="preserve">Agreement: </w:t>
            </w:r>
            <w:r>
              <w:rPr>
                <w:rFonts w:hint="eastAsia"/>
                <w:b/>
                <w:bCs/>
                <w:highlight w:val="green"/>
                <w:lang w:val="en-US" w:eastAsia="zh-CN"/>
              </w:rPr>
              <w:t xml:space="preserve">(105): </w:t>
            </w:r>
          </w:p>
          <w:p>
            <w:pPr>
              <w:pStyle w:val="27"/>
              <w:keepNext w:val="0"/>
              <w:keepLines w:val="0"/>
              <w:pageBreakBefore w:val="0"/>
              <w:widowControl w:val="0"/>
              <w:numPr>
                <w:ilvl w:val="0"/>
                <w:numId w:val="17"/>
              </w:numPr>
              <w:kinsoku/>
              <w:wordWrap/>
              <w:overflowPunct w:val="0"/>
              <w:topLinePunct w:val="0"/>
              <w:autoSpaceDE w:val="0"/>
              <w:autoSpaceDN w:val="0"/>
              <w:bidi w:val="0"/>
              <w:adjustRightInd w:val="0"/>
              <w:snapToGrid/>
              <w:spacing w:line="240" w:lineRule="auto"/>
              <w:textAlignment w:val="baseline"/>
              <w:rPr>
                <w:rFonts w:hint="default"/>
                <w:bCs/>
                <w:highlight w:val="none"/>
                <w:lang w:val="en-US" w:eastAsia="zh-CN"/>
              </w:rPr>
            </w:pPr>
            <w:r>
              <w:rPr>
                <w:szCs w:val="20"/>
                <w:highlight w:val="none"/>
              </w:rPr>
              <w:t>FFS on the number of angular separation including values for the UE RF requirements.</w:t>
            </w:r>
            <w:r>
              <w:rPr>
                <w:rFonts w:hint="eastAsia" w:eastAsia="宋体"/>
                <w:szCs w:val="20"/>
                <w:highlight w:val="none"/>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can see that it is still FFS between the assumptions of multiple fixed AoA offset values and a single fixed AoA offset value. But in our opinion, if only a single fixed AoA offset is assumed, then the performance gain provided by multi-panel Rx would be very limited since of this strong limitation would impact the flexible of Rx beam combination. So we believe the assumption of multiple fixed AoA offset values is more reasonable. Under the assumption of multiple fixed AoA offset values, the phase shift of each panels can be independent, i.e. same as the common IBM architecture in R16/17.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above analysis, we prefer Option 4, i.e. Multi-Rx UE shall be capable of independent beam management between multiple Rx chains on a Component Carrier (CC).</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Observation 3: Even though the exact assumption of two AoA is still suspending in RF session, compared with the assumption of a single fixed AoA offset, the assumption of multiple fixed AoA offset is more reasonable since a single fixed AoA offset value would limit the flexible of Rx beam combination thus restrict the performance gain provided by multi-panel Rx.</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6: 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Related UE capabilities </w:t>
      </w:r>
    </w:p>
    <w:p>
      <w:pPr>
        <w:pStyle w:val="8"/>
        <w:tabs>
          <w:tab w:val="left" w:pos="226"/>
          <w:tab w:val="left" w:pos="284"/>
          <w:tab w:val="left" w:pos="5103"/>
        </w:tabs>
        <w:snapToGrid w:val="0"/>
        <w:spacing w:before="156" w:beforeLines="50"/>
        <w:rPr>
          <w:rFonts w:hint="default" w:eastAsia="宋体"/>
          <w:b w:val="0"/>
          <w:bCs w:val="0"/>
          <w:i/>
          <w:iCs/>
          <w:color w:val="auto"/>
          <w:sz w:val="21"/>
          <w:szCs w:val="21"/>
          <w:u w:val="single"/>
          <w:lang w:val="en-US" w:eastAsia="zh-CN"/>
        </w:rPr>
      </w:pPr>
      <w:r>
        <w:rPr>
          <w:rFonts w:hint="eastAsia" w:eastAsia="宋体"/>
          <w:b w:val="0"/>
          <w:bCs w:val="0"/>
          <w:color w:val="auto"/>
          <w:sz w:val="21"/>
          <w:szCs w:val="21"/>
          <w:u w:val="single"/>
          <w:lang w:val="en-US" w:eastAsia="zh-CN"/>
        </w:rPr>
        <w:t xml:space="preserve">Introducing a new UE capability or reusing/extension the R16 UE capability </w:t>
      </w:r>
      <w:r>
        <w:rPr>
          <w:rFonts w:hint="eastAsia" w:eastAsia="宋体"/>
          <w:b w:val="0"/>
          <w:bCs w:val="0"/>
          <w:i/>
          <w:iCs/>
          <w:color w:val="auto"/>
          <w:sz w:val="21"/>
          <w:szCs w:val="21"/>
          <w:u w:val="single"/>
          <w:lang w:val="en-US" w:eastAsia="zh-CN"/>
        </w:rPr>
        <w:t>simultaneousReceptionDiffTypeD: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To indicate the support of simultaneous multi-panel reception from two directions by UE in FR2-1, an optional UE capability is necessary, which is no need to doubt. While regarding to the exact UE capability, one of the optionS proposed by some company is to reuse the existing UE capability </w:t>
      </w:r>
      <w:r>
        <w:rPr>
          <w:rFonts w:hint="eastAsia" w:eastAsia="宋体"/>
          <w:i/>
          <w:iCs/>
          <w:color w:val="auto"/>
          <w:sz w:val="20"/>
          <w:szCs w:val="20"/>
          <w:lang w:val="en-US" w:eastAsia="zh-CN"/>
        </w:rPr>
        <w:t>simultaneousReceptionDiffTypeD</w:t>
      </w:r>
      <w:r>
        <w:rPr>
          <w:rFonts w:hint="eastAsia" w:eastAsia="宋体"/>
          <w:color w:val="auto"/>
          <w:sz w:val="20"/>
          <w:szCs w:val="20"/>
          <w:lang w:val="en-US" w:eastAsia="zh-CN"/>
        </w:rPr>
        <w:t xml:space="preserve">.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it is better to introduce a new UE capability rather than reuse the existing </w:t>
      </w:r>
      <w:r>
        <w:rPr>
          <w:rFonts w:hint="eastAsia" w:eastAsia="宋体"/>
          <w:i/>
          <w:iCs/>
          <w:color w:val="auto"/>
          <w:sz w:val="20"/>
          <w:szCs w:val="20"/>
          <w:lang w:val="en-US" w:eastAsia="zh-CN"/>
        </w:rPr>
        <w:t>simultaneousReceptionDiffTypeD</w:t>
      </w:r>
      <w:r>
        <w:rPr>
          <w:rFonts w:hint="eastAsia" w:eastAsia="宋体"/>
          <w:color w:val="auto"/>
          <w:sz w:val="20"/>
          <w:szCs w:val="20"/>
          <w:lang w:val="en-US" w:eastAsia="zh-CN"/>
        </w:rPr>
        <w:t xml:space="preserve">. One straightforward reason is the existing R-16 UE capability </w:t>
      </w:r>
      <w:r>
        <w:rPr>
          <w:rFonts w:hint="eastAsia" w:eastAsia="宋体"/>
          <w:i/>
          <w:iCs/>
          <w:color w:val="auto"/>
          <w:sz w:val="20"/>
          <w:szCs w:val="20"/>
          <w:lang w:val="en-US" w:eastAsia="zh-CN"/>
        </w:rPr>
        <w:t xml:space="preserve">simultaneousReceptionDiffTypeD </w:t>
      </w:r>
      <w:r>
        <w:rPr>
          <w:rFonts w:hint="eastAsia" w:eastAsia="宋体"/>
          <w:color w:val="auto"/>
          <w:sz w:val="20"/>
          <w:szCs w:val="20"/>
          <w:lang w:val="en-US" w:eastAsia="zh-CN"/>
        </w:rPr>
        <w:t xml:space="preserve">is only applicable for PDSCH not even for PDCCH, not to mention RS at all. Until now, even whether the L3 measurement is included or not is still suspending, it is determinate that the L1 measurement should be considered, so the simultaneous reception should cover the L1 RS reception. Which is beyond the implication of </w:t>
      </w:r>
      <w:r>
        <w:rPr>
          <w:rFonts w:hint="eastAsia" w:eastAsia="宋体"/>
          <w:i/>
          <w:iCs/>
          <w:color w:val="auto"/>
          <w:sz w:val="20"/>
          <w:szCs w:val="20"/>
          <w:lang w:val="en-US" w:eastAsia="zh-CN"/>
        </w:rPr>
        <w:t>simultaneousReceptionDiffTypeD</w:t>
      </w:r>
      <w:r>
        <w:rPr>
          <w:rFonts w:hint="eastAsia" w:eastAsia="宋体"/>
          <w:color w:val="auto"/>
          <w:sz w:val="20"/>
          <w:szCs w:val="20"/>
          <w:lang w:val="en-US" w:eastAsia="zh-CN"/>
        </w:rPr>
        <w:t xml:space="preserve">.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R16 UE capability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is only applicable for PDSCH not even for PDCCH.</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It is preferred to introduce a new UE capability rather than reuse the existing R16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to indicate the support of simultaneous multi-panel reception from two directions in FR2-1.</w:t>
      </w:r>
    </w:p>
    <w:p>
      <w:pPr>
        <w:pStyle w:val="8"/>
        <w:tabs>
          <w:tab w:val="left" w:pos="226"/>
          <w:tab w:val="left" w:pos="284"/>
          <w:tab w:val="left" w:pos="5103"/>
        </w:tabs>
        <w:snapToGrid w:val="0"/>
        <w:spacing w:before="156" w:beforeLines="50"/>
        <w:rPr>
          <w:rFonts w:hint="default" w:eastAsia="宋体"/>
          <w:b w:val="0"/>
          <w:bCs w:val="0"/>
          <w:color w:val="auto"/>
          <w:sz w:val="21"/>
          <w:szCs w:val="21"/>
          <w:u w:val="single"/>
          <w:lang w:val="en-US" w:eastAsia="zh-CN"/>
        </w:rPr>
      </w:pPr>
      <w:r>
        <w:rPr>
          <w:rFonts w:hint="eastAsia" w:eastAsia="宋体"/>
          <w:b w:val="0"/>
          <w:bCs w:val="0"/>
          <w:color w:val="auto"/>
          <w:sz w:val="21"/>
          <w:szCs w:val="21"/>
          <w:u w:val="single"/>
          <w:lang w:val="en-US" w:eastAsia="zh-CN"/>
        </w:rPr>
        <w:t>Whether need to distinguish multiple UE capabilities for different combination of simultaneous multiple reception: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discussion until the end of 104bis meeting, it is possible that multiple combinations between L1 RS, L3 RS and data would be supported by the UE capable of simultaneous multi-panel reception. So regarding to the UE capability design, there are two solutions:</w:t>
      </w:r>
    </w:p>
    <w:p>
      <w:pPr>
        <w:pStyle w:val="8"/>
        <w:numPr>
          <w:ilvl w:val="0"/>
          <w:numId w:val="0"/>
        </w:numPr>
        <w:tabs>
          <w:tab w:val="left" w:pos="226"/>
          <w:tab w:val="left" w:pos="284"/>
          <w:tab w:val="left" w:pos="5103"/>
        </w:tabs>
        <w:snapToGrid w:val="0"/>
        <w:spacing w:before="156" w:beforeLines="50"/>
        <w:ind w:leftChars="100"/>
        <w:rPr>
          <w:rFonts w:hint="default" w:eastAsia="宋体"/>
          <w:b w:val="0"/>
          <w:bCs w:val="0"/>
          <w:color w:val="auto"/>
          <w:sz w:val="21"/>
          <w:szCs w:val="21"/>
          <w:u w:val="none"/>
          <w:lang w:val="en-US" w:eastAsia="zh-CN"/>
        </w:rPr>
      </w:pPr>
      <w:r>
        <w:rPr>
          <w:rFonts w:hint="eastAsia" w:eastAsia="宋体"/>
          <w:b w:val="0"/>
          <w:bCs w:val="0"/>
          <w:color w:val="auto"/>
          <w:sz w:val="21"/>
          <w:szCs w:val="21"/>
          <w:u w:val="none"/>
          <w:lang w:val="en-US" w:eastAsia="zh-CN"/>
        </w:rPr>
        <w:t>Solution 1: Only a single UE capability is needed, which is applicable for all supported combinations of simultaneous reception between L1 RS, L3 RS and data.</w:t>
      </w:r>
    </w:p>
    <w:p>
      <w:pPr>
        <w:pStyle w:val="8"/>
        <w:numPr>
          <w:ilvl w:val="0"/>
          <w:numId w:val="0"/>
        </w:numPr>
        <w:tabs>
          <w:tab w:val="left" w:pos="226"/>
          <w:tab w:val="left" w:pos="284"/>
          <w:tab w:val="left" w:pos="5103"/>
        </w:tabs>
        <w:snapToGrid w:val="0"/>
        <w:spacing w:before="156" w:beforeLines="50"/>
        <w:ind w:leftChars="100"/>
        <w:rPr>
          <w:rFonts w:hint="default" w:eastAsia="宋体"/>
          <w:b w:val="0"/>
          <w:bCs w:val="0"/>
          <w:color w:val="auto"/>
          <w:sz w:val="21"/>
          <w:szCs w:val="21"/>
          <w:u w:val="none"/>
          <w:lang w:val="en-US" w:eastAsia="zh-CN"/>
        </w:rPr>
      </w:pPr>
      <w:r>
        <w:rPr>
          <w:rFonts w:hint="eastAsia" w:eastAsia="宋体"/>
          <w:b w:val="0"/>
          <w:bCs w:val="0"/>
          <w:color w:val="auto"/>
          <w:sz w:val="21"/>
          <w:szCs w:val="21"/>
          <w:u w:val="none"/>
          <w:lang w:val="en-US" w:eastAsia="zh-CN"/>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L1 RS/data reception.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our opinion, it is better to firstly identify the supported combinations in this WI. Regarding to this issue, our analysis and preference is shown in above 2.2. Then we can further make a decision between Solution 1 and Solution 2 from the perspective of whether a unified UE capability is enough or not.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pPr>
        <w:pStyle w:val="8"/>
        <w:ind w:leftChars="10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1: Only a single UE capability is needed, which is applicable for all supported combinations of simultaneous reception between L1 RS, L3 RS and data</w:t>
      </w:r>
    </w:p>
    <w:p>
      <w:pPr>
        <w:pStyle w:val="8"/>
        <w:ind w:leftChars="10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L1 RS/data reception.</w:t>
      </w:r>
    </w:p>
    <w:p>
      <w:pPr>
        <w:pStyle w:val="8"/>
        <w:tabs>
          <w:tab w:val="left" w:pos="226"/>
          <w:tab w:val="left" w:pos="284"/>
          <w:tab w:val="left" w:pos="5103"/>
        </w:tabs>
        <w:snapToGrid w:val="0"/>
        <w:spacing w:before="156" w:beforeLines="50"/>
        <w:jc w:val="left"/>
        <w:rPr>
          <w:rFonts w:hint="default" w:eastAsia="宋体"/>
          <w:b w:val="0"/>
          <w:bCs w:val="0"/>
          <w:color w:val="auto"/>
          <w:sz w:val="21"/>
          <w:szCs w:val="21"/>
          <w:u w:val="single"/>
          <w:lang w:val="en-US" w:eastAsia="zh-CN"/>
        </w:rPr>
      </w:pPr>
      <w:r>
        <w:rPr>
          <w:rFonts w:hint="eastAsia" w:eastAsia="宋体"/>
          <w:b w:val="0"/>
          <w:bCs w:val="0"/>
          <w:color w:val="auto"/>
          <w:sz w:val="21"/>
          <w:szCs w:val="21"/>
          <w:u w:val="single"/>
          <w:lang w:val="en-US" w:eastAsia="zh-CN"/>
        </w:rPr>
        <w:t>Clarification</w:t>
      </w:r>
      <w:r>
        <w:rPr>
          <w:rFonts w:hint="eastAsia" w:eastAsia="宋体"/>
          <w:b w:val="0"/>
          <w:bCs w:val="0"/>
          <w:color w:val="auto"/>
          <w:sz w:val="21"/>
          <w:szCs w:val="21"/>
          <w:u w:val="single"/>
          <w:lang w:val="en-US" w:eastAsia="ko-KR"/>
        </w:rPr>
        <w:t xml:space="preserve"> of</w:t>
      </w:r>
      <w:r>
        <w:rPr>
          <w:rFonts w:hint="eastAsia" w:eastAsia="宋体"/>
          <w:b w:val="0"/>
          <w:bCs w:val="0"/>
          <w:color w:val="auto"/>
          <w:sz w:val="21"/>
          <w:szCs w:val="21"/>
          <w:u w:val="single"/>
          <w:lang w:val="en-US" w:eastAsia="zh-CN"/>
        </w:rPr>
        <w:t xml:space="preserve"> </w:t>
      </w:r>
      <w:r>
        <w:rPr>
          <w:rFonts w:hint="eastAsia" w:eastAsia="宋体"/>
          <w:b w:val="0"/>
          <w:bCs w:val="0"/>
          <w:i/>
          <w:iCs/>
          <w:color w:val="auto"/>
          <w:sz w:val="21"/>
          <w:szCs w:val="21"/>
          <w:u w:val="single"/>
          <w:lang w:val="en-US" w:eastAsia="ko-KR"/>
        </w:rPr>
        <w:t>simultaneousRxDataSSB-DiffNumerology</w:t>
      </w:r>
      <w:r>
        <w:rPr>
          <w:rFonts w:hint="eastAsia" w:eastAsia="宋体"/>
          <w:b w:val="0"/>
          <w:bCs w:val="0"/>
          <w:i/>
          <w:iCs/>
          <w:color w:val="auto"/>
          <w:sz w:val="21"/>
          <w:szCs w:val="21"/>
          <w:u w:val="single"/>
          <w:lang w:val="en-US" w:eastAsia="zh-CN"/>
        </w:rPr>
        <w:t>/</w:t>
      </w:r>
      <w:r>
        <w:rPr>
          <w:rFonts w:hint="eastAsia" w:eastAsia="宋体"/>
          <w:b w:val="0"/>
          <w:bCs w:val="0"/>
          <w:i/>
          <w:iCs/>
          <w:color w:val="auto"/>
          <w:sz w:val="21"/>
          <w:szCs w:val="21"/>
          <w:u w:val="single"/>
          <w:lang w:val="en-US" w:eastAsia="ko-KR"/>
        </w:rPr>
        <w:t>simultaneousRxDataSSB-DiffNumerology</w:t>
      </w:r>
      <w:r>
        <w:rPr>
          <w:rFonts w:hint="eastAsia" w:eastAsia="宋体"/>
          <w:b w:val="0"/>
          <w:bCs w:val="0"/>
          <w:i/>
          <w:iCs/>
          <w:color w:val="auto"/>
          <w:sz w:val="21"/>
          <w:szCs w:val="21"/>
          <w:u w:val="single"/>
          <w:lang w:val="en-US" w:eastAsia="zh-CN"/>
        </w:rPr>
        <w:t>-Intel-r16</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0"/>
          <w:szCs w:val="20"/>
          <w:lang w:val="en-US" w:eastAsia="zh-CN"/>
        </w:rPr>
        <w:t xml:space="preserve">The two legacy UE capabilities are both related with the concurrent receiving between SSB and data, so whether and how they can be reused in R18 multi-panel reception, needs some clarification. </w:t>
      </w:r>
      <w:r>
        <w:rPr>
          <w:rFonts w:hint="eastAsia" w:eastAsia="宋体"/>
          <w:color w:val="auto"/>
          <w:sz w:val="21"/>
          <w:szCs w:val="21"/>
          <w:lang w:val="en-US" w:eastAsia="zh-CN"/>
        </w:rPr>
        <w:t xml:space="preserve">Firstly the description in [6] can provide some reference. </w:t>
      </w:r>
    </w:p>
    <w:tbl>
      <w:tblPr>
        <w:tblStyle w:val="1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jc w:val="center"/>
              <w:rPr>
                <w:rFonts w:hint="default" w:eastAsia="宋体"/>
                <w:b/>
                <w:bCs/>
                <w:lang w:val="en-US" w:eastAsia="zh-CN"/>
              </w:rPr>
            </w:pPr>
            <w:r>
              <w:rPr>
                <w:rFonts w:hint="eastAsia"/>
                <w:b/>
                <w:bCs/>
                <w:lang w:val="en-US" w:eastAsia="zh-CN"/>
              </w:rPr>
              <w:t>Definitions for parameters</w:t>
            </w:r>
          </w:p>
        </w:tc>
        <w:tc>
          <w:tcPr>
            <w:tcW w:w="709" w:type="dxa"/>
          </w:tcPr>
          <w:p>
            <w:pPr>
              <w:pStyle w:val="34"/>
              <w:jc w:val="center"/>
              <w:rPr>
                <w:rFonts w:hint="default" w:eastAsia="宋体" w:cs="Arial"/>
                <w:b/>
                <w:bCs/>
                <w:iCs/>
                <w:szCs w:val="18"/>
                <w:lang w:val="en-US" w:eastAsia="zh-CN"/>
              </w:rPr>
            </w:pPr>
            <w:r>
              <w:rPr>
                <w:rFonts w:hint="eastAsia" w:cs="Arial"/>
                <w:b/>
                <w:bCs/>
                <w:iCs/>
                <w:szCs w:val="18"/>
                <w:lang w:val="en-US" w:eastAsia="zh-CN"/>
              </w:rPr>
              <w:t>Per</w:t>
            </w:r>
          </w:p>
        </w:tc>
        <w:tc>
          <w:tcPr>
            <w:tcW w:w="564" w:type="dxa"/>
          </w:tcPr>
          <w:p>
            <w:pPr>
              <w:pStyle w:val="34"/>
              <w:jc w:val="center"/>
              <w:rPr>
                <w:rFonts w:hint="eastAsia" w:eastAsia="宋体" w:cs="Arial"/>
                <w:b/>
                <w:bCs/>
                <w:iCs/>
                <w:szCs w:val="18"/>
                <w:lang w:val="en-US" w:eastAsia="zh-CN"/>
              </w:rPr>
            </w:pPr>
            <w:r>
              <w:rPr>
                <w:rFonts w:hint="eastAsia" w:cs="Arial"/>
                <w:b/>
                <w:bCs/>
                <w:iCs/>
                <w:szCs w:val="18"/>
                <w:lang w:val="en-US" w:eastAsia="zh-CN"/>
              </w:rPr>
              <w:t>M</w:t>
            </w:r>
          </w:p>
        </w:tc>
        <w:tc>
          <w:tcPr>
            <w:tcW w:w="712" w:type="dxa"/>
          </w:tcPr>
          <w:p>
            <w:pPr>
              <w:pStyle w:val="34"/>
              <w:jc w:val="center"/>
              <w:rPr>
                <w:rFonts w:hint="default" w:eastAsia="宋体" w:cs="Arial"/>
                <w:b/>
                <w:bCs/>
                <w:iCs/>
                <w:szCs w:val="18"/>
                <w:lang w:val="en-US" w:eastAsia="zh-CN"/>
              </w:rPr>
            </w:pPr>
            <w:r>
              <w:rPr>
                <w:rFonts w:hint="eastAsia" w:cs="Arial"/>
                <w:b/>
                <w:bCs/>
                <w:iCs/>
                <w:szCs w:val="18"/>
                <w:lang w:val="en-US" w:eastAsia="zh-CN"/>
              </w:rPr>
              <w:t>FDD-TDD DIFF</w:t>
            </w:r>
          </w:p>
        </w:tc>
        <w:tc>
          <w:tcPr>
            <w:tcW w:w="737" w:type="dxa"/>
          </w:tcPr>
          <w:p>
            <w:pPr>
              <w:pStyle w:val="34"/>
              <w:jc w:val="center"/>
              <w:rPr>
                <w:rFonts w:hint="default" w:eastAsia="宋体" w:cs="Arial"/>
                <w:b/>
                <w:bCs/>
                <w:iCs/>
                <w:szCs w:val="18"/>
                <w:lang w:val="en-US" w:eastAsia="zh-CN"/>
              </w:rPr>
            </w:pPr>
            <w:r>
              <w:rPr>
                <w:rFonts w:hint="eastAsia" w:eastAsia="宋体" w:cs="Arial"/>
                <w:b/>
                <w:bCs/>
                <w:iCs/>
                <w:szCs w:val="18"/>
                <w:lang w:val="en-US" w:eastAsia="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rPr>
                <w:rFonts w:cs="Arial"/>
                <w:b/>
                <w:bCs/>
                <w:i/>
                <w:iCs/>
                <w:szCs w:val="18"/>
              </w:rPr>
            </w:pPr>
            <w:r>
              <w:rPr>
                <w:rFonts w:cs="Arial"/>
                <w:b/>
                <w:bCs/>
                <w:i/>
                <w:iCs/>
                <w:szCs w:val="18"/>
              </w:rPr>
              <w:t>simultaneousRxDataSSB-DiffNumerology</w:t>
            </w:r>
          </w:p>
          <w:p>
            <w:pPr>
              <w:pStyle w:val="34"/>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pPr>
              <w:pStyle w:val="34"/>
              <w:jc w:val="center"/>
              <w:rPr>
                <w:rFonts w:cs="Arial"/>
                <w:bCs/>
                <w:iCs/>
                <w:szCs w:val="18"/>
              </w:rPr>
            </w:pPr>
            <w:r>
              <w:rPr>
                <w:rFonts w:cs="Arial"/>
                <w:bCs/>
                <w:iCs/>
                <w:szCs w:val="18"/>
              </w:rPr>
              <w:t>UE</w:t>
            </w:r>
          </w:p>
        </w:tc>
        <w:tc>
          <w:tcPr>
            <w:tcW w:w="564" w:type="dxa"/>
          </w:tcPr>
          <w:p>
            <w:pPr>
              <w:pStyle w:val="34"/>
              <w:jc w:val="center"/>
              <w:rPr>
                <w:rFonts w:cs="Arial"/>
                <w:bCs/>
                <w:iCs/>
                <w:szCs w:val="18"/>
              </w:rPr>
            </w:pPr>
            <w:r>
              <w:rPr>
                <w:rFonts w:cs="Arial"/>
                <w:bCs/>
                <w:iCs/>
                <w:szCs w:val="18"/>
              </w:rPr>
              <w:t>No</w:t>
            </w:r>
          </w:p>
        </w:tc>
        <w:tc>
          <w:tcPr>
            <w:tcW w:w="712" w:type="dxa"/>
          </w:tcPr>
          <w:p>
            <w:pPr>
              <w:pStyle w:val="34"/>
              <w:jc w:val="center"/>
              <w:rPr>
                <w:rFonts w:cs="Arial"/>
                <w:bCs/>
                <w:iCs/>
                <w:szCs w:val="18"/>
              </w:rPr>
            </w:pPr>
            <w:r>
              <w:rPr>
                <w:rFonts w:cs="Arial"/>
                <w:bCs/>
                <w:iCs/>
                <w:szCs w:val="18"/>
              </w:rPr>
              <w:t>No</w:t>
            </w:r>
          </w:p>
        </w:tc>
        <w:tc>
          <w:tcPr>
            <w:tcW w:w="737" w:type="dxa"/>
          </w:tcPr>
          <w:p>
            <w:pPr>
              <w:pStyle w:val="34"/>
              <w:jc w:val="center"/>
              <w:rPr>
                <w:rFonts w:eastAsia="MS Mincho" w:cs="Arial"/>
                <w:bCs/>
                <w:iCs/>
                <w:szCs w:val="18"/>
              </w:rPr>
            </w:pPr>
            <w:r>
              <w:rPr>
                <w:rFonts w:eastAsia="MS Mincho" w:cs="Arial"/>
                <w:bCs/>
                <w:iCs/>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rPr>
                <w:rFonts w:cs="Arial"/>
                <w:b/>
                <w:bCs/>
                <w:i/>
                <w:iCs/>
                <w:szCs w:val="18"/>
                <w:lang w:eastAsia="zh-CN"/>
              </w:rPr>
            </w:pPr>
            <w:r>
              <w:rPr>
                <w:rFonts w:cs="Arial"/>
                <w:b/>
                <w:bCs/>
                <w:i/>
                <w:iCs/>
                <w:szCs w:val="18"/>
              </w:rPr>
              <w:t>simultaneousRxDataSSB-DiffNumerology-Inter-r16</w:t>
            </w:r>
          </w:p>
          <w:p>
            <w:pPr>
              <w:pStyle w:val="34"/>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Pr>
          <w:p>
            <w:pPr>
              <w:pStyle w:val="34"/>
              <w:jc w:val="center"/>
              <w:rPr>
                <w:rFonts w:cs="Arial"/>
                <w:bCs/>
                <w:iCs/>
                <w:szCs w:val="18"/>
              </w:rPr>
            </w:pPr>
            <w:r>
              <w:rPr>
                <w:rFonts w:cs="Arial"/>
                <w:bCs/>
                <w:iCs/>
                <w:szCs w:val="18"/>
              </w:rPr>
              <w:t>UE</w:t>
            </w:r>
          </w:p>
        </w:tc>
        <w:tc>
          <w:tcPr>
            <w:tcW w:w="564" w:type="dxa"/>
          </w:tcPr>
          <w:p>
            <w:pPr>
              <w:pStyle w:val="34"/>
              <w:jc w:val="center"/>
              <w:rPr>
                <w:rFonts w:cs="Arial"/>
                <w:bCs/>
                <w:iCs/>
                <w:szCs w:val="18"/>
              </w:rPr>
            </w:pPr>
            <w:r>
              <w:rPr>
                <w:rFonts w:cs="Arial"/>
                <w:bCs/>
                <w:iCs/>
                <w:szCs w:val="18"/>
              </w:rPr>
              <w:t>No</w:t>
            </w:r>
          </w:p>
        </w:tc>
        <w:tc>
          <w:tcPr>
            <w:tcW w:w="712" w:type="dxa"/>
          </w:tcPr>
          <w:p>
            <w:pPr>
              <w:pStyle w:val="34"/>
              <w:jc w:val="center"/>
              <w:rPr>
                <w:rFonts w:cs="Arial"/>
                <w:bCs/>
                <w:iCs/>
                <w:szCs w:val="18"/>
              </w:rPr>
            </w:pPr>
            <w:r>
              <w:rPr>
                <w:rFonts w:cs="Arial"/>
                <w:bCs/>
                <w:iCs/>
                <w:szCs w:val="18"/>
              </w:rPr>
              <w:t>No</w:t>
            </w:r>
          </w:p>
        </w:tc>
        <w:tc>
          <w:tcPr>
            <w:tcW w:w="737" w:type="dxa"/>
          </w:tcPr>
          <w:p>
            <w:pPr>
              <w:pStyle w:val="34"/>
              <w:jc w:val="center"/>
              <w:rPr>
                <w:rFonts w:eastAsia="MS Mincho" w:cs="Arial"/>
                <w:bCs/>
                <w:iCs/>
                <w:szCs w:val="18"/>
              </w:rPr>
            </w:pPr>
            <w:r>
              <w:rPr>
                <w:rFonts w:eastAsia="MS Mincho" w:cs="Arial"/>
                <w:bCs/>
                <w:iCs/>
                <w:szCs w:val="18"/>
              </w:rPr>
              <w:t>Yes</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Combined with the specification in [4], the UE capability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is only applicable for FR1, not for FR2. While the UE capability of </w:t>
      </w:r>
      <w:r>
        <w:rPr>
          <w:rFonts w:hint="eastAsia" w:eastAsia="宋体"/>
          <w:i/>
          <w:iCs/>
          <w:color w:val="auto"/>
          <w:sz w:val="20"/>
          <w:szCs w:val="20"/>
          <w:lang w:val="en-US" w:eastAsia="zh-CN"/>
        </w:rPr>
        <w:t>simultaneousRxDataSSB-DiffNumerology-Inter-r16</w:t>
      </w:r>
      <w:r>
        <w:rPr>
          <w:rFonts w:hint="eastAsia" w:eastAsia="宋体"/>
          <w:color w:val="auto"/>
          <w:sz w:val="20"/>
          <w:szCs w:val="20"/>
          <w:lang w:val="en-US" w:eastAsia="zh-CN"/>
        </w:rPr>
        <w:t xml:space="preserve"> seems universal for both FR1 and FR2 but indicated respectively. However as an accessory of the R16 UE capability </w:t>
      </w:r>
      <w:r>
        <w:rPr>
          <w:rFonts w:hint="eastAsia" w:eastAsia="宋体"/>
          <w:i/>
          <w:iCs/>
          <w:color w:val="auto"/>
          <w:sz w:val="20"/>
          <w:szCs w:val="20"/>
          <w:lang w:val="en-US" w:eastAsia="zh-CN"/>
        </w:rPr>
        <w:t>interFrequencyMeas-NoGap-r16</w:t>
      </w:r>
      <w:r>
        <w:rPr>
          <w:rFonts w:hint="eastAsia" w:eastAsia="宋体"/>
          <w:color w:val="auto"/>
          <w:sz w:val="20"/>
          <w:szCs w:val="20"/>
          <w:lang w:val="en-US" w:eastAsia="zh-CN"/>
        </w:rPr>
        <w:t xml:space="preserve">, UE capable of </w:t>
      </w:r>
      <w:r>
        <w:rPr>
          <w:rFonts w:hint="eastAsia" w:eastAsia="宋体"/>
          <w:i/>
          <w:iCs/>
          <w:color w:val="auto"/>
          <w:sz w:val="20"/>
          <w:szCs w:val="20"/>
          <w:lang w:val="en-US" w:eastAsia="zh-CN"/>
        </w:rPr>
        <w:t>simultaneousRxDataSSB-DiffNumerology-Inter-r16</w:t>
      </w:r>
      <w:r>
        <w:rPr>
          <w:rFonts w:hint="eastAsia" w:eastAsia="宋体"/>
          <w:color w:val="auto"/>
          <w:sz w:val="20"/>
          <w:szCs w:val="20"/>
          <w:lang w:val="en-US" w:eastAsia="zh-CN"/>
        </w:rPr>
        <w:t xml:space="preserve"> should always accompany with the support of  </w:t>
      </w:r>
      <w:r>
        <w:rPr>
          <w:rFonts w:hint="eastAsia" w:eastAsia="宋体"/>
          <w:i/>
          <w:iCs/>
          <w:color w:val="auto"/>
          <w:sz w:val="20"/>
          <w:szCs w:val="20"/>
          <w:lang w:val="en-US" w:eastAsia="zh-CN"/>
        </w:rPr>
        <w:t>interFrequencyMeas-NoGap-r16</w:t>
      </w:r>
      <w:r>
        <w:rPr>
          <w:rFonts w:hint="eastAsia" w:eastAsia="宋体"/>
          <w:color w:val="auto"/>
          <w:sz w:val="20"/>
          <w:szCs w:val="20"/>
          <w:lang w:val="en-US" w:eastAsia="zh-CN"/>
        </w:rPr>
        <w:t>, i.e. the applicability restriction exists.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5: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6: The UE capability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seems universal for both FR1 and FR2 but indicated respectively. While UE capable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should always accompany with the support of  </w:t>
      </w:r>
      <w:r>
        <w:rPr>
          <w:rFonts w:hint="eastAsia" w:eastAsia="宋体" w:cs="Times New Roman"/>
          <w:b/>
          <w:bCs/>
          <w:i/>
          <w:iCs/>
          <w:color w:val="auto"/>
          <w:sz w:val="20"/>
          <w:szCs w:val="20"/>
          <w:highlight w:val="none"/>
          <w:lang w:val="en-US" w:eastAsia="zh-CN" w:bidi="ar-SA"/>
        </w:rPr>
        <w:t>interFrequencyMeas-NoGap-r16</w:t>
      </w:r>
      <w:r>
        <w:rPr>
          <w:rFonts w:hint="eastAsia" w:eastAsia="宋体" w:cs="Times New Roman"/>
          <w:b/>
          <w:bCs/>
          <w:color w:val="auto"/>
          <w:sz w:val="20"/>
          <w:szCs w:val="20"/>
          <w:highlight w:val="none"/>
          <w:lang w:val="en-US" w:eastAsia="zh-CN" w:bidi="ar-SA"/>
        </w:rPr>
        <w:t>, i.e. the applicability restriction exists.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Based on the above analysis, in our opinion, the existing UE capability </w:t>
      </w:r>
      <w:r>
        <w:rPr>
          <w:rFonts w:hint="eastAsia" w:eastAsia="宋体"/>
          <w:i/>
          <w:iCs/>
          <w:color w:val="auto"/>
          <w:sz w:val="20"/>
          <w:szCs w:val="20"/>
          <w:lang w:val="en-US" w:eastAsia="zh-CN"/>
        </w:rPr>
        <w:t>simultaneousRxDataSSB-DiffNumerology-Inter-r16</w:t>
      </w:r>
      <w:r>
        <w:rPr>
          <w:rFonts w:hint="eastAsia" w:eastAsia="宋体"/>
          <w:color w:val="auto"/>
          <w:sz w:val="20"/>
          <w:szCs w:val="20"/>
          <w:lang w:val="en-US" w:eastAsia="zh-CN"/>
        </w:rPr>
        <w:t xml:space="preserve"> is not suitable for R18 multi-panel reception since of the inherent applicability restriction. Referring to the existing UE capability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if the supporting of concurrent SSB and data are consistent between FR1 and FR2-1, reusing this UE capability is feasible. But, it should be ultimately determined after the decision of single or multiple UE capabilities are necessary.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9: The existing UE capability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is not suitable for R18 multi-panel reception since of the inherent applicability restriction.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10: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bookmarkStart w:id="0" w:name="_GoBack"/>
      <w:bookmarkEnd w:id="0"/>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difference points between intra-cell scenario and inter-cell scenario can be summarized as: 1) Whether mTRPs share same PCI or not; 2) The receiving time difference may be different; 3) the possible simultaneous reception combinations may different; 4) The allowed DCI scheduling scheme is different.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All the different points between intra-cell and inter-cell scenarios are in the process of discussion and without any option exclusion, so we can not see the reason to preclude any scenario between intra-cell and inter-cell.</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At least the multi-TRP scenario with ideal backhaul assumption should be supported for multi-panel Rx.</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intra-cell scenario, the following combinations from different TRPs are possible:</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PDSCH/PDCCH + PDSCH/PDCCH</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PDSCH/PDCCH</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PDSCH/PDCCH</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L1 CSI-RS</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L1 CSI-RS + L1 CSI-RS </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SSB + PDSCH/PDCCH (to enhance scheduling restriction in L3 measurement)</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CSI-RS + PDSCH/PDCCH (to enhance scheduling restriction in L3 measurement)</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L3 CSI-RS (to enhance L1 measurement)</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L3 CSI-RS (to enhance L1 measurement)</w:t>
      </w:r>
    </w:p>
    <w:p>
      <w:pPr>
        <w:numPr>
          <w:ilvl w:val="0"/>
          <w:numId w:val="18"/>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L3 SSB (to enhance L1 measurement)</w:t>
      </w:r>
    </w:p>
    <w:p>
      <w:pPr>
        <w:numPr>
          <w:ilvl w:val="0"/>
          <w:numId w:val="18"/>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L1 SSB + L3 SSB</w:t>
      </w:r>
      <w:r>
        <w:rPr>
          <w:rFonts w:hint="eastAsia" w:ascii="Times New Roman" w:hAnsi="Times New Roman" w:eastAsia="宋体" w:cs="Times New Roman"/>
          <w:b/>
          <w:bCs/>
          <w:color w:val="auto"/>
          <w:sz w:val="20"/>
          <w:szCs w:val="20"/>
          <w:highlight w:val="none"/>
          <w:lang w:val="en-US" w:eastAsia="zh-CN" w:bidi="ar-SA"/>
        </w:rPr>
        <w:t>(to enhance L1 measurement)</w:t>
      </w:r>
    </w:p>
    <w:p>
      <w:pPr>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Regarding to the combinations between L1 RS and L3 RS, i.e. the above 8), 9), 10) and 11), whether they can be supported is still suspending, we are open to further discuss.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inter-cell scenario, the following combinations from different TRPs are possible:</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PDSCH/PDCCH + PDSCH/PDCCH</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SSB + PDSCH/PDCCH</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CSI-RS + PDSCH/PDCCH</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SSB + L1 SSB</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L1 SSB + L1 CSI-RS </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L3 SSB + PDSCH/PDCCH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scheduling restriction in L3 meas</w:t>
      </w:r>
      <w:r>
        <w:rPr>
          <w:rFonts w:hint="eastAsia" w:eastAsia="宋体" w:cs="Times New Roman"/>
          <w:b/>
          <w:bCs/>
          <w:szCs w:val="24"/>
          <w:lang w:val="en-US" w:eastAsia="zh-CN" w:bidi="ar-SA"/>
        </w:rPr>
        <w:t>urement)</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L3 CSI-RS + PDSCH/PDCCH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scheduling restriction in L3 meas</w:t>
      </w:r>
      <w:r>
        <w:rPr>
          <w:rFonts w:hint="eastAsia" w:eastAsia="宋体" w:cs="Times New Roman"/>
          <w:b/>
          <w:bCs/>
          <w:szCs w:val="24"/>
          <w:lang w:val="en-US" w:eastAsia="zh-CN" w:bidi="ar-SA"/>
        </w:rPr>
        <w:t>urement)</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L1 CSI-RS</w:t>
      </w:r>
      <w:r>
        <w:rPr>
          <w:rFonts w:hint="eastAsia" w:eastAsia="宋体" w:cs="Times New Roman"/>
          <w:b/>
          <w:bCs/>
          <w:szCs w:val="24"/>
          <w:lang w:val="en-US" w:eastAsia="zh-CN" w:bidi="ar-SA"/>
        </w:rPr>
        <w:t xml:space="preserve"> </w:t>
      </w:r>
      <w:r>
        <w:rPr>
          <w:rFonts w:hint="eastAsia" w:ascii="Times New Roman" w:hAnsi="Times New Roman" w:eastAsia="宋体" w:cs="Times New Roman"/>
          <w:b/>
          <w:bCs/>
          <w:szCs w:val="24"/>
          <w:lang w:val="en-US" w:eastAsia="zh-CN" w:bidi="ar-SA"/>
        </w:rPr>
        <w:t xml:space="preserve">+ L3 CSI-RS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L1 SSB + L3 CSI-RS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numPr>
          <w:ilvl w:val="0"/>
          <w:numId w:val="19"/>
        </w:numPr>
        <w:rPr>
          <w:rFonts w:hint="default" w:ascii="Times New Roman" w:hAnsi="Times New Roman" w:eastAsia="宋体" w:cs="Times New Roman"/>
          <w:b/>
          <w:bCs/>
          <w:szCs w:val="24"/>
          <w:lang w:val="en-US" w:eastAsia="zh-CN" w:bidi="ar-SA"/>
        </w:rPr>
      </w:pPr>
      <w:r>
        <w:rPr>
          <w:rFonts w:hint="eastAsia" w:ascii="Times New Roman" w:hAnsi="Times New Roman" w:eastAsia="宋体" w:cs="Times New Roman"/>
          <w:b/>
          <w:bCs/>
          <w:szCs w:val="24"/>
          <w:lang w:val="en-US" w:eastAsia="zh-CN" w:bidi="ar-SA"/>
        </w:rPr>
        <w:t xml:space="preserve">L1 CSI-RS + L3 SSB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numPr>
          <w:ilvl w:val="0"/>
          <w:numId w:val="19"/>
        </w:numPr>
        <w:rPr>
          <w:rFonts w:hint="default" w:ascii="Times New Roman" w:hAnsi="Times New Roman" w:eastAsia="宋体" w:cs="Times New Roman"/>
          <w:b/>
          <w:bCs/>
          <w:szCs w:val="24"/>
          <w:lang w:val="en-US" w:eastAsia="zh-CN" w:bidi="ar-SA"/>
        </w:rPr>
      </w:pPr>
      <w:r>
        <w:rPr>
          <w:rFonts w:hint="eastAsia" w:eastAsia="宋体" w:cs="Times New Roman"/>
          <w:b/>
          <w:bCs/>
          <w:szCs w:val="24"/>
          <w:lang w:val="en-US" w:eastAsia="zh-CN" w:bidi="ar-SA"/>
        </w:rPr>
        <w:t>L1 SSB + L3 SSB</w:t>
      </w:r>
      <w:r>
        <w:rPr>
          <w:rFonts w:hint="eastAsia" w:ascii="Times New Roman" w:hAnsi="Times New Roman" w:eastAsia="宋体" w:cs="Times New Roman"/>
          <w:b/>
          <w:bCs/>
          <w:szCs w:val="24"/>
          <w:lang w:val="en-US" w:eastAsia="zh-CN" w:bidi="ar-SA"/>
        </w:rPr>
        <w:t xml:space="preserve"> </w:t>
      </w:r>
      <w:r>
        <w:rPr>
          <w:rFonts w:hint="eastAsia" w:eastAsia="宋体" w:cs="Times New Roman"/>
          <w:b/>
          <w:bCs/>
          <w:szCs w:val="24"/>
          <w:lang w:val="en-US" w:eastAsia="zh-CN" w:bidi="ar-SA"/>
        </w:rPr>
        <w:t>(</w:t>
      </w:r>
      <w:r>
        <w:rPr>
          <w:rFonts w:hint="eastAsia" w:ascii="Times New Roman" w:hAnsi="Times New Roman" w:eastAsia="宋体" w:cs="Times New Roman"/>
          <w:b/>
          <w:bCs/>
          <w:szCs w:val="24"/>
          <w:lang w:val="en-US" w:eastAsia="zh-CN" w:bidi="ar-SA"/>
        </w:rPr>
        <w:t>to enhance L1 meas</w:t>
      </w:r>
      <w:r>
        <w:rPr>
          <w:rFonts w:hint="eastAsia" w:eastAsia="宋体" w:cs="Times New Roman"/>
          <w:b/>
          <w:bCs/>
          <w:szCs w:val="24"/>
          <w:lang w:val="en-US" w:eastAsia="zh-CN" w:bidi="ar-SA"/>
        </w:rPr>
        <w:t>urement)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Regarding to the combinations between L1 RS and L3 RS, i.e. the above 8), 9), 10) and 11), whether they can be supported is still suspending, we are open to further discuss.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To avoid interference and enlarge the beam directions coverage via multi-panel simultaneous reception, the coverage of beam directions of each panel are non-overlapped or only limited partial overlapped.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Even though the exact assumption of two AoA is still suspending in RF session, compared with the assumption of a single fixed AoA offset, the assumption of multiple fixed AoA offset is more reasonable since a single fixed AoA offset value would limit the flexible of Rx beam combination thus restrict the performance gain provided by multi-panel Rx.</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R16 UE capability </w:t>
      </w:r>
      <w:r>
        <w:rPr>
          <w:rFonts w:hint="eastAsia" w:eastAsia="宋体" w:cs="Times New Roman"/>
          <w:b/>
          <w:bCs/>
          <w:i/>
          <w:iCs/>
          <w:color w:val="auto"/>
          <w:sz w:val="20"/>
          <w:szCs w:val="20"/>
          <w:highlight w:val="none"/>
          <w:lang w:val="en-US" w:eastAsia="zh-CN" w:bidi="ar-SA"/>
        </w:rPr>
        <w:t xml:space="preserve">simultaneousReceptionDiffTypeD </w:t>
      </w:r>
      <w:r>
        <w:rPr>
          <w:rFonts w:hint="eastAsia" w:eastAsia="宋体" w:cs="Times New Roman"/>
          <w:b/>
          <w:bCs/>
          <w:color w:val="auto"/>
          <w:sz w:val="20"/>
          <w:szCs w:val="20"/>
          <w:highlight w:val="none"/>
          <w:lang w:val="en-US" w:eastAsia="zh-CN" w:bidi="ar-SA"/>
        </w:rPr>
        <w:t>is only applicable for PDSCH not even for PDCCH.</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It is preferred to introduce a new UE capability rather than reuse the existing R16 </w:t>
      </w:r>
      <w:r>
        <w:rPr>
          <w:rFonts w:hint="eastAsia" w:eastAsia="宋体" w:cs="Times New Roman"/>
          <w:b/>
          <w:bCs/>
          <w:i/>
          <w:iCs/>
          <w:color w:val="auto"/>
          <w:sz w:val="20"/>
          <w:szCs w:val="20"/>
          <w:highlight w:val="none"/>
          <w:lang w:val="en-US" w:eastAsia="zh-CN" w:bidi="ar-SA"/>
        </w:rPr>
        <w:t xml:space="preserve">simultaneousReceptionDiffTypeD </w:t>
      </w:r>
      <w:r>
        <w:rPr>
          <w:rFonts w:hint="eastAsia" w:eastAsia="宋体" w:cs="Times New Roman"/>
          <w:b/>
          <w:bCs/>
          <w:color w:val="auto"/>
          <w:sz w:val="20"/>
          <w:szCs w:val="20"/>
          <w:highlight w:val="none"/>
          <w:lang w:val="en-US" w:eastAsia="zh-CN" w:bidi="ar-SA"/>
        </w:rPr>
        <w:t>to indicate the support of simultaneous multi-panel reception from two directions in FR2-1.</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1: Only a single UE capability is needed, which is applicable for all supported combinations of simultaneous reception between L1 RS, L3 RS and data</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L1 RS/data reception.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5: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6: The UE capability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seems universal for both FR1 and FR2 but indicated respectively. While UE capable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should always accompany with the support of  interFrequencyMeas-NoGap-r16, i.e. the applicability restriction exists.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9: The existing UE capability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is not suitable for R18 multi-panel reception since of the inherent applicability restriction.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10: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20"/>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20"/>
        </w:numPr>
        <w:ind w:leftChars="0"/>
        <w:rPr>
          <w:rFonts w:hint="eastAsia"/>
          <w:color w:val="auto"/>
          <w:highlight w:val="none"/>
          <w:lang w:val="en-US" w:eastAsia="zh-CN"/>
        </w:rPr>
      </w:pPr>
      <w:r>
        <w:rPr>
          <w:rFonts w:hint="eastAsia"/>
          <w:color w:val="auto"/>
          <w:highlight w:val="none"/>
          <w:lang w:val="en-US" w:eastAsia="zh-CN"/>
        </w:rPr>
        <w:t xml:space="preserve">R4-2220742 </w:t>
      </w:r>
      <w:r>
        <w:rPr>
          <w:rFonts w:hint="default"/>
          <w:color w:val="auto"/>
          <w:highlight w:val="none"/>
          <w:lang w:val="en-US" w:eastAsia="zh-CN"/>
        </w:rPr>
        <w:t>“</w:t>
      </w:r>
      <w:r>
        <w:rPr>
          <w:rFonts w:hint="eastAsia"/>
          <w:color w:val="auto"/>
          <w:highlight w:val="none"/>
          <w:lang w:val="en-US" w:eastAsia="zh-CN"/>
        </w:rPr>
        <w:t>WF on NR FR2 multi-Rx chain DL reception–Part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20"/>
        </w:numPr>
        <w:ind w:leftChars="0"/>
        <w:rPr>
          <w:rFonts w:hint="eastAsia"/>
          <w:color w:val="auto"/>
          <w:highlight w:val="none"/>
          <w:lang w:val="en-US" w:eastAsia="zh-CN"/>
        </w:rPr>
      </w:pPr>
      <w:r>
        <w:rPr>
          <w:rFonts w:hint="eastAsia"/>
          <w:color w:val="auto"/>
          <w:highlight w:val="none"/>
          <w:lang w:val="en-US" w:eastAsia="zh-CN"/>
        </w:rPr>
        <w:t xml:space="preserve">R4-2220402 </w:t>
      </w:r>
      <w:r>
        <w:rPr>
          <w:rFonts w:hint="default"/>
          <w:color w:val="auto"/>
          <w:highlight w:val="none"/>
          <w:lang w:val="en-US" w:eastAsia="zh-CN"/>
        </w:rPr>
        <w:t>“</w:t>
      </w:r>
      <w:r>
        <w:rPr>
          <w:rFonts w:hint="eastAsia"/>
          <w:color w:val="auto"/>
          <w:highlight w:val="none"/>
          <w:lang w:val="en-US" w:eastAsia="zh-CN"/>
        </w:rPr>
        <w:t>WF for FR2_multiRx_RRM_part3</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20"/>
        </w:numPr>
        <w:ind w:left="0" w:leftChars="0" w:firstLine="0" w:firstLineChars="0"/>
        <w:rPr>
          <w:rFonts w:hint="eastAsia"/>
          <w:color w:val="auto"/>
          <w:lang w:val="en-US" w:eastAsia="zh-CN"/>
        </w:rPr>
      </w:pPr>
      <w:r>
        <w:rPr>
          <w:rFonts w:hint="eastAsia"/>
          <w:color w:val="auto"/>
          <w:lang w:val="en-US" w:eastAsia="zh-CN"/>
        </w:rPr>
        <w:t>Topic summary for [105][215] FR2_multiRx_RRM_part1, vivo.</w:t>
      </w:r>
    </w:p>
    <w:p>
      <w:pPr>
        <w:pStyle w:val="9"/>
        <w:numPr>
          <w:ilvl w:val="0"/>
          <w:numId w:val="20"/>
        </w:numPr>
        <w:ind w:left="0" w:leftChars="0" w:firstLine="0" w:firstLineChars="0"/>
        <w:rPr>
          <w:rFonts w:hint="default"/>
          <w:color w:val="auto"/>
          <w:lang w:val="en-US" w:eastAsia="zh-CN"/>
        </w:rPr>
      </w:pPr>
      <w:r>
        <w:rPr>
          <w:rFonts w:hint="eastAsia"/>
          <w:color w:val="auto"/>
          <w:lang w:val="en-US" w:eastAsia="zh-CN"/>
        </w:rPr>
        <w:t xml:space="preserve">R4-2219740 </w:t>
      </w:r>
      <w:r>
        <w:rPr>
          <w:rFonts w:hint="default"/>
          <w:color w:val="auto"/>
          <w:lang w:val="en-US" w:eastAsia="zh-CN"/>
        </w:rPr>
        <w:t>“Discussion on general aspects for multi Rx DL”</w:t>
      </w:r>
      <w:r>
        <w:rPr>
          <w:rFonts w:hint="eastAsia"/>
          <w:color w:val="auto"/>
          <w:lang w:val="en-US" w:eastAsia="zh-CN"/>
        </w:rPr>
        <w:t>, Nokia, Nokia Shanghai Bell.</w:t>
      </w:r>
    </w:p>
    <w:p>
      <w:pPr>
        <w:pStyle w:val="9"/>
        <w:numPr>
          <w:ilvl w:val="0"/>
          <w:numId w:val="20"/>
        </w:numPr>
        <w:ind w:leftChars="0"/>
        <w:rPr>
          <w:rFonts w:hint="default"/>
          <w:color w:val="auto"/>
          <w:highlight w:val="none"/>
          <w:lang w:val="en-US" w:eastAsia="zh-CN"/>
        </w:rPr>
      </w:pPr>
      <w:r>
        <w:rPr>
          <w:rFonts w:hint="eastAsia"/>
          <w:color w:val="auto"/>
          <w:highlight w:val="none"/>
          <w:lang w:val="en-US" w:eastAsia="zh-CN"/>
        </w:rPr>
        <w:t>TS38.306-h20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E79DF"/>
    <w:multiLevelType w:val="singleLevel"/>
    <w:tmpl w:val="86BE79DF"/>
    <w:lvl w:ilvl="0" w:tentative="0">
      <w:start w:val="1"/>
      <w:numFmt w:val="bullet"/>
      <w:lvlText w:val=""/>
      <w:lvlJc w:val="left"/>
      <w:pPr>
        <w:ind w:left="420" w:hanging="420"/>
      </w:pPr>
      <w:rPr>
        <w:rFonts w:hint="default" w:ascii="Wingdings" w:hAnsi="Wingdings"/>
      </w:rPr>
    </w:lvl>
  </w:abstractNum>
  <w:abstractNum w:abstractNumId="1">
    <w:nsid w:val="8998302C"/>
    <w:multiLevelType w:val="singleLevel"/>
    <w:tmpl w:val="8998302C"/>
    <w:lvl w:ilvl="0" w:tentative="0">
      <w:start w:val="1"/>
      <w:numFmt w:val="decimal"/>
      <w:suff w:val="space"/>
      <w:lvlText w:val="%1)"/>
      <w:lvlJc w:val="left"/>
    </w:lvl>
  </w:abstractNum>
  <w:abstractNum w:abstractNumId="2">
    <w:nsid w:val="9A845FEF"/>
    <w:multiLevelType w:val="singleLevel"/>
    <w:tmpl w:val="9A845FEF"/>
    <w:lvl w:ilvl="0" w:tentative="0">
      <w:start w:val="1"/>
      <w:numFmt w:val="bullet"/>
      <w:lvlText w:val=""/>
      <w:lvlJc w:val="left"/>
      <w:pPr>
        <w:tabs>
          <w:tab w:val="left" w:pos="420"/>
        </w:tabs>
        <w:ind w:left="840" w:hanging="420"/>
      </w:pPr>
      <w:rPr>
        <w:rFonts w:hint="default" w:ascii="Wingdings" w:hAnsi="Wingdings"/>
      </w:rPr>
    </w:lvl>
  </w:abstractNum>
  <w:abstractNum w:abstractNumId="3">
    <w:nsid w:val="A8E5EB3A"/>
    <w:multiLevelType w:val="singleLevel"/>
    <w:tmpl w:val="A8E5EB3A"/>
    <w:lvl w:ilvl="0" w:tentative="0">
      <w:start w:val="1"/>
      <w:numFmt w:val="decimal"/>
      <w:suff w:val="space"/>
      <w:lvlText w:val="[%1]"/>
      <w:lvlJc w:val="left"/>
    </w:lvl>
  </w:abstractNum>
  <w:abstractNum w:abstractNumId="4">
    <w:nsid w:val="DCF8F77F"/>
    <w:multiLevelType w:val="singleLevel"/>
    <w:tmpl w:val="DCF8F77F"/>
    <w:lvl w:ilvl="0" w:tentative="0">
      <w:start w:val="1"/>
      <w:numFmt w:val="decimal"/>
      <w:suff w:val="space"/>
      <w:lvlText w:val="%1)"/>
      <w:lvlJc w:val="left"/>
    </w:lvl>
  </w:abstractNum>
  <w:abstractNum w:abstractNumId="5">
    <w:nsid w:val="DE7F243F"/>
    <w:multiLevelType w:val="singleLevel"/>
    <w:tmpl w:val="DE7F243F"/>
    <w:lvl w:ilvl="0" w:tentative="0">
      <w:start w:val="1"/>
      <w:numFmt w:val="decimal"/>
      <w:suff w:val="space"/>
      <w:lvlText w:val="%1)"/>
      <w:lvlJc w:val="left"/>
    </w:lvl>
  </w:abstractNum>
  <w:abstractNum w:abstractNumId="6">
    <w:nsid w:val="04A303A0"/>
    <w:multiLevelType w:val="multilevel"/>
    <w:tmpl w:val="04A303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5896B5E"/>
    <w:multiLevelType w:val="singleLevel"/>
    <w:tmpl w:val="05896B5E"/>
    <w:lvl w:ilvl="0" w:tentative="0">
      <w:start w:val="1"/>
      <w:numFmt w:val="decimal"/>
      <w:suff w:val="space"/>
      <w:lvlText w:val="%1)"/>
      <w:lvlJc w:val="left"/>
    </w:lvl>
  </w:abstractNum>
  <w:abstractNum w:abstractNumId="8">
    <w:nsid w:val="0EFBADFC"/>
    <w:multiLevelType w:val="singleLevel"/>
    <w:tmpl w:val="0EFBADFC"/>
    <w:lvl w:ilvl="0" w:tentative="0">
      <w:start w:val="1"/>
      <w:numFmt w:val="bullet"/>
      <w:lvlText w:val=""/>
      <w:lvlJc w:val="left"/>
      <w:pPr>
        <w:tabs>
          <w:tab w:val="left" w:pos="-420"/>
        </w:tabs>
        <w:ind w:left="0" w:hanging="420"/>
      </w:pPr>
      <w:rPr>
        <w:rFonts w:hint="default" w:ascii="Wingdings" w:hAnsi="Wingdings"/>
      </w:rPr>
    </w:lvl>
  </w:abstractNum>
  <w:abstractNum w:abstractNumId="9">
    <w:nsid w:val="17A6DC43"/>
    <w:multiLevelType w:val="singleLevel"/>
    <w:tmpl w:val="17A6DC43"/>
    <w:lvl w:ilvl="0" w:tentative="0">
      <w:start w:val="1"/>
      <w:numFmt w:val="decimal"/>
      <w:suff w:val="space"/>
      <w:lvlText w:val="%1)"/>
      <w:lvlJc w:val="left"/>
    </w:lvl>
  </w:abstractNum>
  <w:abstractNum w:abstractNumId="1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1D074FA4"/>
    <w:multiLevelType w:val="singleLevel"/>
    <w:tmpl w:val="1D074FA4"/>
    <w:lvl w:ilvl="0" w:tentative="0">
      <w:start w:val="1"/>
      <w:numFmt w:val="decimal"/>
      <w:suff w:val="space"/>
      <w:lvlText w:val="%1)"/>
      <w:lvlJc w:val="left"/>
    </w:lvl>
  </w:abstractNum>
  <w:abstractNum w:abstractNumId="12">
    <w:nsid w:val="205A5703"/>
    <w:multiLevelType w:val="multilevel"/>
    <w:tmpl w:val="205A57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1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7">
    <w:nsid w:val="5F9E716B"/>
    <w:multiLevelType w:val="multilevel"/>
    <w:tmpl w:val="5F9E71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9">
    <w:nsid w:val="70537B66"/>
    <w:multiLevelType w:val="singleLevel"/>
    <w:tmpl w:val="70537B66"/>
    <w:lvl w:ilvl="0" w:tentative="0">
      <w:start w:val="1"/>
      <w:numFmt w:val="bullet"/>
      <w:lvlText w:val=""/>
      <w:lvlJc w:val="left"/>
      <w:pPr>
        <w:ind w:left="420" w:hanging="420"/>
      </w:pPr>
      <w:rPr>
        <w:rFonts w:hint="default" w:ascii="Wingdings" w:hAnsi="Wingdings"/>
      </w:rPr>
    </w:lvl>
  </w:abstractNum>
  <w:num w:numId="1">
    <w:abstractNumId w:val="18"/>
  </w:num>
  <w:num w:numId="2">
    <w:abstractNumId w:val="14"/>
  </w:num>
  <w:num w:numId="3">
    <w:abstractNumId w:val="16"/>
  </w:num>
  <w:num w:numId="4">
    <w:abstractNumId w:val="10"/>
  </w:num>
  <w:num w:numId="5">
    <w:abstractNumId w:val="13"/>
  </w:num>
  <w:num w:numId="6">
    <w:abstractNumId w:val="15"/>
  </w:num>
  <w:num w:numId="7">
    <w:abstractNumId w:val="0"/>
  </w:num>
  <w:num w:numId="8">
    <w:abstractNumId w:val="8"/>
  </w:num>
  <w:num w:numId="9">
    <w:abstractNumId w:val="19"/>
  </w:num>
  <w:num w:numId="10">
    <w:abstractNumId w:val="7"/>
  </w:num>
  <w:num w:numId="11">
    <w:abstractNumId w:val="1"/>
  </w:num>
  <w:num w:numId="12">
    <w:abstractNumId w:val="2"/>
  </w:num>
  <w:num w:numId="13">
    <w:abstractNumId w:val="4"/>
  </w:num>
  <w:num w:numId="14">
    <w:abstractNumId w:val="9"/>
  </w:num>
  <w:num w:numId="15">
    <w:abstractNumId w:val="17"/>
  </w:num>
  <w:num w:numId="16">
    <w:abstractNumId w:val="6"/>
  </w:num>
  <w:num w:numId="17">
    <w:abstractNumId w:val="12"/>
  </w:num>
  <w:num w:numId="18">
    <w:abstractNumId w:val="11"/>
  </w:num>
  <w:num w:numId="19">
    <w:abstractNumId w:val="5"/>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ED345F"/>
    <w:rsid w:val="120774A3"/>
    <w:rsid w:val="12580C13"/>
    <w:rsid w:val="130B3696"/>
    <w:rsid w:val="14006D19"/>
    <w:rsid w:val="1414436B"/>
    <w:rsid w:val="1481754F"/>
    <w:rsid w:val="148F5721"/>
    <w:rsid w:val="14AC57CD"/>
    <w:rsid w:val="15ED3E9B"/>
    <w:rsid w:val="164514BE"/>
    <w:rsid w:val="16E8141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122D1B"/>
    <w:rsid w:val="202F3D4C"/>
    <w:rsid w:val="20E2786E"/>
    <w:rsid w:val="21014C39"/>
    <w:rsid w:val="21045DF0"/>
    <w:rsid w:val="21244EB1"/>
    <w:rsid w:val="213964D8"/>
    <w:rsid w:val="21595D04"/>
    <w:rsid w:val="21835807"/>
    <w:rsid w:val="21F13629"/>
    <w:rsid w:val="2305377E"/>
    <w:rsid w:val="231A76D5"/>
    <w:rsid w:val="23BE460D"/>
    <w:rsid w:val="24122135"/>
    <w:rsid w:val="24D4257E"/>
    <w:rsid w:val="24F5519F"/>
    <w:rsid w:val="25362D8A"/>
    <w:rsid w:val="2572202B"/>
    <w:rsid w:val="25AE612B"/>
    <w:rsid w:val="2605683C"/>
    <w:rsid w:val="26661176"/>
    <w:rsid w:val="26BB1419"/>
    <w:rsid w:val="27315D1D"/>
    <w:rsid w:val="27B748AA"/>
    <w:rsid w:val="27CB4CB9"/>
    <w:rsid w:val="27CC4452"/>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565660"/>
    <w:rsid w:val="319708F2"/>
    <w:rsid w:val="31B14C9E"/>
    <w:rsid w:val="31FE2981"/>
    <w:rsid w:val="33C522D7"/>
    <w:rsid w:val="33F228A5"/>
    <w:rsid w:val="347C19A0"/>
    <w:rsid w:val="34807672"/>
    <w:rsid w:val="351B1E30"/>
    <w:rsid w:val="358E5935"/>
    <w:rsid w:val="35B06C6A"/>
    <w:rsid w:val="36941AA2"/>
    <w:rsid w:val="36D37423"/>
    <w:rsid w:val="379D23F9"/>
    <w:rsid w:val="37E74183"/>
    <w:rsid w:val="3A185287"/>
    <w:rsid w:val="3A1F46B8"/>
    <w:rsid w:val="3A692CD0"/>
    <w:rsid w:val="3B270929"/>
    <w:rsid w:val="3B3D5571"/>
    <w:rsid w:val="3B5D276F"/>
    <w:rsid w:val="3B673620"/>
    <w:rsid w:val="3B9A1F29"/>
    <w:rsid w:val="3CA83595"/>
    <w:rsid w:val="3CE4646B"/>
    <w:rsid w:val="3D5E7AA8"/>
    <w:rsid w:val="3D6F2596"/>
    <w:rsid w:val="3F5E503E"/>
    <w:rsid w:val="405F175E"/>
    <w:rsid w:val="40737877"/>
    <w:rsid w:val="40A811A8"/>
    <w:rsid w:val="40C765F3"/>
    <w:rsid w:val="41B8634B"/>
    <w:rsid w:val="41C755BE"/>
    <w:rsid w:val="42424160"/>
    <w:rsid w:val="427919DF"/>
    <w:rsid w:val="42B16B47"/>
    <w:rsid w:val="42F869D2"/>
    <w:rsid w:val="43553536"/>
    <w:rsid w:val="44972678"/>
    <w:rsid w:val="44C465F8"/>
    <w:rsid w:val="451632B9"/>
    <w:rsid w:val="45906394"/>
    <w:rsid w:val="45D40A2F"/>
    <w:rsid w:val="45F60A50"/>
    <w:rsid w:val="46142D0C"/>
    <w:rsid w:val="463A5AC1"/>
    <w:rsid w:val="46970A81"/>
    <w:rsid w:val="46B036BF"/>
    <w:rsid w:val="47282363"/>
    <w:rsid w:val="476B3528"/>
    <w:rsid w:val="47C726B0"/>
    <w:rsid w:val="49DC4EAC"/>
    <w:rsid w:val="49E55BC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B1164D"/>
    <w:rsid w:val="55B4735E"/>
    <w:rsid w:val="55BB221D"/>
    <w:rsid w:val="56371459"/>
    <w:rsid w:val="56484633"/>
    <w:rsid w:val="574B3EB2"/>
    <w:rsid w:val="58D0053D"/>
    <w:rsid w:val="59064002"/>
    <w:rsid w:val="598C40A0"/>
    <w:rsid w:val="59DA647E"/>
    <w:rsid w:val="5A556E1A"/>
    <w:rsid w:val="5C1166E3"/>
    <w:rsid w:val="5E2864D0"/>
    <w:rsid w:val="5E494511"/>
    <w:rsid w:val="5EB44FC0"/>
    <w:rsid w:val="5EB81F13"/>
    <w:rsid w:val="5EDA64BC"/>
    <w:rsid w:val="5FBA395F"/>
    <w:rsid w:val="60B92183"/>
    <w:rsid w:val="60EC2CBA"/>
    <w:rsid w:val="61661B78"/>
    <w:rsid w:val="61CC2D28"/>
    <w:rsid w:val="62DE3B93"/>
    <w:rsid w:val="630C63B9"/>
    <w:rsid w:val="63454F29"/>
    <w:rsid w:val="635902CD"/>
    <w:rsid w:val="642A3E76"/>
    <w:rsid w:val="645E1DDB"/>
    <w:rsid w:val="64706BBE"/>
    <w:rsid w:val="64F2095B"/>
    <w:rsid w:val="65267327"/>
    <w:rsid w:val="65D63F94"/>
    <w:rsid w:val="66036AF7"/>
    <w:rsid w:val="67A858DB"/>
    <w:rsid w:val="67FE4166"/>
    <w:rsid w:val="68AD2162"/>
    <w:rsid w:val="68C401C3"/>
    <w:rsid w:val="69045D7F"/>
    <w:rsid w:val="693027BF"/>
    <w:rsid w:val="6968769B"/>
    <w:rsid w:val="69831B57"/>
    <w:rsid w:val="698E7A9D"/>
    <w:rsid w:val="69A833BD"/>
    <w:rsid w:val="69FB3F8F"/>
    <w:rsid w:val="6A5D78D5"/>
    <w:rsid w:val="6A85354A"/>
    <w:rsid w:val="6C8E0C06"/>
    <w:rsid w:val="6D566F0F"/>
    <w:rsid w:val="6D836F72"/>
    <w:rsid w:val="6DC2026F"/>
    <w:rsid w:val="6DDE3DAF"/>
    <w:rsid w:val="6E281030"/>
    <w:rsid w:val="6E2C7D5B"/>
    <w:rsid w:val="6E3241BE"/>
    <w:rsid w:val="6EB97A9D"/>
    <w:rsid w:val="6EC82818"/>
    <w:rsid w:val="6EF10A90"/>
    <w:rsid w:val="6FD45BF8"/>
    <w:rsid w:val="6FFF1868"/>
    <w:rsid w:val="70332195"/>
    <w:rsid w:val="71507435"/>
    <w:rsid w:val="715F4C2D"/>
    <w:rsid w:val="721C3FA1"/>
    <w:rsid w:val="722F78FB"/>
    <w:rsid w:val="723D67C5"/>
    <w:rsid w:val="7250627B"/>
    <w:rsid w:val="72BF60CA"/>
    <w:rsid w:val="72F41282"/>
    <w:rsid w:val="733D0D32"/>
    <w:rsid w:val="73D411F1"/>
    <w:rsid w:val="74165422"/>
    <w:rsid w:val="753811DE"/>
    <w:rsid w:val="7566040A"/>
    <w:rsid w:val="757733D9"/>
    <w:rsid w:val="75A7114C"/>
    <w:rsid w:val="75BE67D4"/>
    <w:rsid w:val="75C2004C"/>
    <w:rsid w:val="75C759C1"/>
    <w:rsid w:val="760F5DAE"/>
    <w:rsid w:val="762D64F3"/>
    <w:rsid w:val="767E7EFF"/>
    <w:rsid w:val="775B4604"/>
    <w:rsid w:val="77C067C3"/>
    <w:rsid w:val="77EA64D7"/>
    <w:rsid w:val="78911E31"/>
    <w:rsid w:val="7922350F"/>
    <w:rsid w:val="792B5470"/>
    <w:rsid w:val="79C637D8"/>
    <w:rsid w:val="7A9367CB"/>
    <w:rsid w:val="7AA10DE7"/>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2023-02-17T13:06:26Z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